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drawings/drawing2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019" w:rsidRPr="001A0D1A" w:rsidRDefault="00521AF8" w:rsidP="00E21A86">
      <w:pPr>
        <w:spacing w:line="240" w:lineRule="auto"/>
        <w:ind w:left="2160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  <w:b/>
        </w:rPr>
        <w:t xml:space="preserve"> </w:t>
      </w:r>
      <w:r w:rsidR="00B8020C" w:rsidRPr="00B8020C">
        <w:rPr>
          <w:rFonts w:ascii="Times New Roman" w:hAnsi="Times New Roman"/>
          <w:b/>
        </w:rPr>
        <w:t>Wisconsin Calculated Milk Cost of Production</w:t>
      </w:r>
      <w:r w:rsidR="001A0D1A">
        <w:rPr>
          <w:rFonts w:ascii="Times New Roman" w:hAnsi="Times New Roman"/>
          <w:b/>
        </w:rPr>
        <w:t xml:space="preserve"> </w:t>
      </w:r>
    </w:p>
    <w:p w:rsidR="00B8020C" w:rsidRPr="00B8020C" w:rsidRDefault="00B8020C" w:rsidP="002B38C9">
      <w:pPr>
        <w:spacing w:line="240" w:lineRule="auto"/>
        <w:ind w:left="1440" w:firstLine="720"/>
        <w:rPr>
          <w:rFonts w:ascii="Times New Roman" w:hAnsi="Times New Roman"/>
        </w:rPr>
      </w:pPr>
      <w:r w:rsidRPr="00B8020C">
        <w:rPr>
          <w:rFonts w:ascii="Times New Roman" w:hAnsi="Times New Roman"/>
        </w:rPr>
        <w:tab/>
      </w:r>
      <w:r w:rsidR="002B38C9">
        <w:rPr>
          <w:rFonts w:ascii="Times New Roman" w:hAnsi="Times New Roman"/>
        </w:rPr>
        <w:tab/>
      </w:r>
      <w:r w:rsidR="00242CD0">
        <w:rPr>
          <w:rFonts w:ascii="Times New Roman" w:hAnsi="Times New Roman"/>
          <w:b/>
        </w:rPr>
        <w:t>Novem</w:t>
      </w:r>
      <w:r w:rsidR="00941593">
        <w:rPr>
          <w:rFonts w:ascii="Times New Roman" w:hAnsi="Times New Roman"/>
          <w:b/>
        </w:rPr>
        <w:t>ber</w:t>
      </w:r>
      <w:r w:rsidRPr="009A7DA7">
        <w:rPr>
          <w:rFonts w:ascii="Times New Roman" w:hAnsi="Times New Roman"/>
          <w:b/>
        </w:rPr>
        <w:t xml:space="preserve"> </w:t>
      </w:r>
      <w:r w:rsidRPr="00B8020C">
        <w:rPr>
          <w:rFonts w:ascii="Times New Roman" w:hAnsi="Times New Roman"/>
        </w:rPr>
        <w:t>20</w:t>
      </w:r>
      <w:r w:rsidR="00A6253A">
        <w:rPr>
          <w:rFonts w:ascii="Times New Roman" w:hAnsi="Times New Roman"/>
        </w:rPr>
        <w:t>1</w:t>
      </w:r>
      <w:r w:rsidR="00514139">
        <w:rPr>
          <w:rFonts w:ascii="Times New Roman" w:hAnsi="Times New Roman"/>
        </w:rPr>
        <w:t>2</w:t>
      </w:r>
    </w:p>
    <w:p w:rsidR="00B8020C" w:rsidRPr="00B8020C" w:rsidRDefault="00B8020C" w:rsidP="00F32DDB">
      <w:pPr>
        <w:spacing w:after="0" w:line="240" w:lineRule="auto"/>
        <w:ind w:left="1440" w:firstLine="720"/>
        <w:rPr>
          <w:rFonts w:ascii="Times New Roman" w:hAnsi="Times New Roman"/>
        </w:rPr>
      </w:pPr>
      <w:r w:rsidRPr="00B8020C">
        <w:rPr>
          <w:rFonts w:ascii="Times New Roman" w:hAnsi="Times New Roman"/>
        </w:rPr>
        <w:tab/>
      </w:r>
      <w:r w:rsidR="002B38C9">
        <w:rPr>
          <w:rFonts w:ascii="Times New Roman" w:hAnsi="Times New Roman"/>
        </w:rPr>
        <w:tab/>
      </w:r>
      <w:r w:rsidRPr="00B8020C">
        <w:rPr>
          <w:rFonts w:ascii="Times New Roman" w:hAnsi="Times New Roman"/>
        </w:rPr>
        <w:t>Ken Bo</w:t>
      </w:r>
      <w:r w:rsidR="002B38C9">
        <w:rPr>
          <w:rFonts w:ascii="Times New Roman" w:hAnsi="Times New Roman"/>
        </w:rPr>
        <w:tab/>
      </w:r>
      <w:r w:rsidRPr="00B8020C">
        <w:rPr>
          <w:rFonts w:ascii="Times New Roman" w:hAnsi="Times New Roman"/>
        </w:rPr>
        <w:t>lton</w:t>
      </w:r>
    </w:p>
    <w:p w:rsidR="00B8020C" w:rsidRPr="00B8020C" w:rsidRDefault="00B8020C" w:rsidP="00F32DDB">
      <w:pPr>
        <w:spacing w:after="0" w:line="240" w:lineRule="auto"/>
        <w:ind w:left="1440" w:firstLine="720"/>
        <w:rPr>
          <w:rFonts w:ascii="Times New Roman" w:hAnsi="Times New Roman"/>
        </w:rPr>
      </w:pPr>
      <w:r w:rsidRPr="00B8020C">
        <w:rPr>
          <w:rFonts w:ascii="Times New Roman" w:hAnsi="Times New Roman"/>
        </w:rPr>
        <w:tab/>
      </w:r>
      <w:r w:rsidR="002B38C9">
        <w:rPr>
          <w:rFonts w:ascii="Times New Roman" w:hAnsi="Times New Roman"/>
        </w:rPr>
        <w:tab/>
      </w:r>
      <w:r w:rsidR="00E71F28">
        <w:rPr>
          <w:rFonts w:ascii="Times New Roman" w:hAnsi="Times New Roman"/>
        </w:rPr>
        <w:t>U</w:t>
      </w:r>
      <w:r w:rsidRPr="00B8020C">
        <w:rPr>
          <w:rFonts w:ascii="Times New Roman" w:hAnsi="Times New Roman"/>
        </w:rPr>
        <w:t>W-Extension</w:t>
      </w:r>
    </w:p>
    <w:p w:rsidR="00B8020C" w:rsidRDefault="00B8020C" w:rsidP="002B38C9">
      <w:pPr>
        <w:spacing w:line="240" w:lineRule="auto"/>
        <w:ind w:left="1440" w:firstLine="720"/>
        <w:rPr>
          <w:rFonts w:ascii="Times New Roman" w:hAnsi="Times New Roman"/>
        </w:rPr>
      </w:pPr>
      <w:r w:rsidRPr="00B8020C">
        <w:rPr>
          <w:rFonts w:ascii="Times New Roman" w:hAnsi="Times New Roman"/>
        </w:rPr>
        <w:tab/>
      </w:r>
      <w:r w:rsidR="002B38C9">
        <w:rPr>
          <w:rFonts w:ascii="Times New Roman" w:hAnsi="Times New Roman"/>
        </w:rPr>
        <w:tab/>
      </w:r>
      <w:r w:rsidRPr="00B8020C">
        <w:rPr>
          <w:rFonts w:ascii="Times New Roman" w:hAnsi="Times New Roman"/>
        </w:rPr>
        <w:t xml:space="preserve">Center for Dairy Profitability </w:t>
      </w:r>
    </w:p>
    <w:p w:rsidR="00E71F28" w:rsidRDefault="00B8020C" w:rsidP="00B8020C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The </w:t>
      </w:r>
      <w:r w:rsidR="00E71F28">
        <w:rPr>
          <w:rFonts w:ascii="Times New Roman" w:hAnsi="Times New Roman"/>
        </w:rPr>
        <w:t xml:space="preserve">monthly </w:t>
      </w:r>
      <w:r>
        <w:rPr>
          <w:rFonts w:ascii="Times New Roman" w:hAnsi="Times New Roman"/>
        </w:rPr>
        <w:t xml:space="preserve">predicted Cost of Production </w:t>
      </w:r>
      <w:r w:rsidR="00E71F28">
        <w:rPr>
          <w:rFonts w:ascii="Times New Roman" w:hAnsi="Times New Roman"/>
        </w:rPr>
        <w:t xml:space="preserve">(COP) </w:t>
      </w:r>
      <w:r>
        <w:rPr>
          <w:rFonts w:ascii="Times New Roman" w:hAnsi="Times New Roman"/>
        </w:rPr>
        <w:t>f</w:t>
      </w:r>
      <w:r w:rsidR="004164D2">
        <w:rPr>
          <w:rFonts w:ascii="Times New Roman" w:hAnsi="Times New Roman"/>
        </w:rPr>
        <w:t>or</w:t>
      </w:r>
      <w:r>
        <w:rPr>
          <w:rFonts w:ascii="Times New Roman" w:hAnsi="Times New Roman"/>
        </w:rPr>
        <w:t xml:space="preserve"> milk in Wisconsin is intended for use by dairy producers making production</w:t>
      </w:r>
      <w:r w:rsidR="00F833AA">
        <w:rPr>
          <w:rFonts w:ascii="Times New Roman" w:hAnsi="Times New Roman"/>
        </w:rPr>
        <w:t>,</w:t>
      </w:r>
      <w:r w:rsidR="00E71F28">
        <w:rPr>
          <w:rFonts w:ascii="Times New Roman" w:hAnsi="Times New Roman"/>
        </w:rPr>
        <w:t xml:space="preserve"> financial </w:t>
      </w:r>
      <w:r w:rsidR="00F833AA">
        <w:rPr>
          <w:rFonts w:ascii="Times New Roman" w:hAnsi="Times New Roman"/>
        </w:rPr>
        <w:t xml:space="preserve">and risk </w:t>
      </w:r>
      <w:r>
        <w:rPr>
          <w:rFonts w:ascii="Times New Roman" w:hAnsi="Times New Roman"/>
        </w:rPr>
        <w:t xml:space="preserve">management decisions. It is a calculated cost </w:t>
      </w:r>
      <w:r w:rsidR="00775E3B">
        <w:rPr>
          <w:rFonts w:ascii="Times New Roman" w:hAnsi="Times New Roman"/>
        </w:rPr>
        <w:t>as</w:t>
      </w:r>
      <w:r>
        <w:rPr>
          <w:rFonts w:ascii="Times New Roman" w:hAnsi="Times New Roman"/>
        </w:rPr>
        <w:t xml:space="preserve"> it predicts the </w:t>
      </w:r>
      <w:r w:rsidR="00795F2E">
        <w:rPr>
          <w:rFonts w:ascii="Times New Roman" w:hAnsi="Times New Roman"/>
        </w:rPr>
        <w:t>M</w:t>
      </w:r>
      <w:r>
        <w:rPr>
          <w:rFonts w:ascii="Times New Roman" w:hAnsi="Times New Roman"/>
        </w:rPr>
        <w:t xml:space="preserve">ailbox </w:t>
      </w:r>
      <w:r w:rsidR="00795F2E">
        <w:rPr>
          <w:rFonts w:ascii="Times New Roman" w:hAnsi="Times New Roman"/>
        </w:rPr>
        <w:t>P</w:t>
      </w:r>
      <w:r>
        <w:rPr>
          <w:rFonts w:ascii="Times New Roman" w:hAnsi="Times New Roman"/>
        </w:rPr>
        <w:t xml:space="preserve">rice </w:t>
      </w:r>
      <w:r w:rsidR="00795F2E">
        <w:rPr>
          <w:rFonts w:ascii="Times New Roman" w:hAnsi="Times New Roman"/>
        </w:rPr>
        <w:t xml:space="preserve">(net hauling charges) </w:t>
      </w:r>
      <w:r>
        <w:rPr>
          <w:rFonts w:ascii="Times New Roman" w:hAnsi="Times New Roman"/>
        </w:rPr>
        <w:t xml:space="preserve">of milk from the Class III </w:t>
      </w:r>
      <w:r w:rsidR="007A1DD3">
        <w:rPr>
          <w:rFonts w:ascii="Times New Roman" w:hAnsi="Times New Roman"/>
        </w:rPr>
        <w:t xml:space="preserve">Futures </w:t>
      </w:r>
      <w:r w:rsidR="00E71F28">
        <w:rPr>
          <w:rFonts w:ascii="Times New Roman" w:hAnsi="Times New Roman"/>
        </w:rPr>
        <w:t>using</w:t>
      </w:r>
      <w:r>
        <w:rPr>
          <w:rFonts w:ascii="Times New Roman" w:hAnsi="Times New Roman"/>
        </w:rPr>
        <w:t xml:space="preserve"> the regression formula of Gould</w:t>
      </w:r>
      <w:r w:rsidR="000846A0">
        <w:rPr>
          <w:rFonts w:ascii="Times New Roman" w:hAnsi="Times New Roman"/>
        </w:rPr>
        <w:t>.</w:t>
      </w:r>
      <w:r w:rsidR="00B602BB">
        <w:rPr>
          <w:rFonts w:ascii="Times New Roman" w:hAnsi="Times New Roman"/>
        </w:rPr>
        <w:t xml:space="preserve"> </w:t>
      </w:r>
      <w:r w:rsidR="000846A0">
        <w:rPr>
          <w:rFonts w:ascii="Times New Roman" w:hAnsi="Times New Roman"/>
        </w:rPr>
        <w:t>A</w:t>
      </w:r>
      <w:r w:rsidR="00EF6112">
        <w:rPr>
          <w:rFonts w:ascii="Times New Roman" w:hAnsi="Times New Roman"/>
        </w:rPr>
        <w:t>n</w:t>
      </w:r>
      <w:r w:rsidR="000846A0">
        <w:rPr>
          <w:rFonts w:ascii="Times New Roman" w:hAnsi="Times New Roman"/>
        </w:rPr>
        <w:t xml:space="preserve"> </w:t>
      </w:r>
      <w:r w:rsidR="00EF6112">
        <w:rPr>
          <w:rFonts w:ascii="Times New Roman" w:hAnsi="Times New Roman"/>
        </w:rPr>
        <w:t>estimated</w:t>
      </w:r>
      <w:r w:rsidR="00B602BB">
        <w:rPr>
          <w:rFonts w:ascii="Times New Roman" w:hAnsi="Times New Roman"/>
        </w:rPr>
        <w:t xml:space="preserve"> MILC</w:t>
      </w:r>
      <w:r w:rsidR="00795F2E">
        <w:rPr>
          <w:rFonts w:ascii="Times New Roman" w:hAnsi="Times New Roman"/>
        </w:rPr>
        <w:t xml:space="preserve"> Program </w:t>
      </w:r>
      <w:r w:rsidR="00B602BB">
        <w:rPr>
          <w:rFonts w:ascii="Times New Roman" w:hAnsi="Times New Roman"/>
        </w:rPr>
        <w:t xml:space="preserve">payment </w:t>
      </w:r>
      <w:r w:rsidR="000A225F">
        <w:rPr>
          <w:rFonts w:ascii="Times New Roman" w:hAnsi="Times New Roman"/>
        </w:rPr>
        <w:t xml:space="preserve">amount </w:t>
      </w:r>
      <w:r w:rsidR="000846A0">
        <w:rPr>
          <w:rFonts w:ascii="Times New Roman" w:hAnsi="Times New Roman"/>
        </w:rPr>
        <w:t xml:space="preserve">is </w:t>
      </w:r>
      <w:r w:rsidR="00C159AE">
        <w:rPr>
          <w:rFonts w:ascii="Times New Roman" w:hAnsi="Times New Roman"/>
        </w:rPr>
        <w:t>made</w:t>
      </w:r>
      <w:r w:rsidR="00795F2E">
        <w:rPr>
          <w:rFonts w:ascii="Times New Roman" w:hAnsi="Times New Roman"/>
        </w:rPr>
        <w:t>,</w:t>
      </w:r>
      <w:r w:rsidR="000846A0">
        <w:rPr>
          <w:rFonts w:ascii="Times New Roman" w:hAnsi="Times New Roman"/>
        </w:rPr>
        <w:t xml:space="preserve"> </w:t>
      </w:r>
      <w:r w:rsidR="00B602BB">
        <w:rPr>
          <w:rFonts w:ascii="Times New Roman" w:hAnsi="Times New Roman"/>
        </w:rPr>
        <w:t>a</w:t>
      </w:r>
      <w:r w:rsidR="00B11489">
        <w:rPr>
          <w:rFonts w:ascii="Times New Roman" w:hAnsi="Times New Roman"/>
        </w:rPr>
        <w:t>lso</w:t>
      </w:r>
      <w:r w:rsidR="00B602BB">
        <w:rPr>
          <w:rFonts w:ascii="Times New Roman" w:hAnsi="Times New Roman"/>
        </w:rPr>
        <w:t xml:space="preserve"> predicted by Gould</w:t>
      </w:r>
      <w:r w:rsidR="007300ED">
        <w:rPr>
          <w:rFonts w:ascii="Times New Roman" w:hAnsi="Times New Roman"/>
        </w:rPr>
        <w:t xml:space="preserve"> </w:t>
      </w:r>
      <w:hyperlink r:id="rId6" w:history="1">
        <w:r w:rsidR="007300ED" w:rsidRPr="00994C61">
          <w:rPr>
            <w:rStyle w:val="Hyperlink"/>
            <w:rFonts w:ascii="Times New Roman" w:hAnsi="Times New Roman"/>
          </w:rPr>
          <w:t>http://future.aae.wisc.edu/milc.html</w:t>
        </w:r>
      </w:hyperlink>
      <w:r w:rsidR="007300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.</w:t>
      </w:r>
      <w:r w:rsidR="007300ED">
        <w:rPr>
          <w:rFonts w:ascii="Times New Roman" w:hAnsi="Times New Roman"/>
        </w:rPr>
        <w:t xml:space="preserve">  </w:t>
      </w:r>
      <w:r w:rsidR="008C41E7">
        <w:rPr>
          <w:rFonts w:ascii="Times New Roman" w:hAnsi="Times New Roman"/>
        </w:rPr>
        <w:t xml:space="preserve">Cracked </w:t>
      </w:r>
      <w:r w:rsidR="00F00C52">
        <w:rPr>
          <w:rFonts w:ascii="Times New Roman" w:hAnsi="Times New Roman"/>
        </w:rPr>
        <w:t>s</w:t>
      </w:r>
      <w:r w:rsidR="00917429">
        <w:rPr>
          <w:rFonts w:ascii="Times New Roman" w:hAnsi="Times New Roman"/>
        </w:rPr>
        <w:t xml:space="preserve">helled corn, Hi pro </w:t>
      </w:r>
      <w:r>
        <w:rPr>
          <w:rFonts w:ascii="Times New Roman" w:hAnsi="Times New Roman"/>
        </w:rPr>
        <w:t>soybean meal</w:t>
      </w:r>
      <w:r w:rsidR="00AB34E8">
        <w:rPr>
          <w:rFonts w:ascii="Times New Roman" w:hAnsi="Times New Roman"/>
        </w:rPr>
        <w:t xml:space="preserve"> (SBOM)</w:t>
      </w:r>
      <w:r w:rsidR="00E71F28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="001C4E52">
        <w:rPr>
          <w:rFonts w:ascii="Times New Roman" w:hAnsi="Times New Roman"/>
        </w:rPr>
        <w:t xml:space="preserve">TM </w:t>
      </w:r>
      <w:r>
        <w:rPr>
          <w:rFonts w:ascii="Times New Roman" w:hAnsi="Times New Roman"/>
        </w:rPr>
        <w:t xml:space="preserve">salt and Dicalcium phosphate prices </w:t>
      </w:r>
      <w:r w:rsidR="00B11489">
        <w:rPr>
          <w:rFonts w:ascii="Times New Roman" w:hAnsi="Times New Roman"/>
        </w:rPr>
        <w:t xml:space="preserve">used in this analysis </w:t>
      </w:r>
      <w:r>
        <w:rPr>
          <w:rFonts w:ascii="Times New Roman" w:hAnsi="Times New Roman"/>
        </w:rPr>
        <w:t xml:space="preserve">are </w:t>
      </w:r>
      <w:r w:rsidR="001C4E52">
        <w:rPr>
          <w:rFonts w:ascii="Times New Roman" w:hAnsi="Times New Roman"/>
        </w:rPr>
        <w:t>Southern</w:t>
      </w:r>
      <w:r>
        <w:rPr>
          <w:rFonts w:ascii="Times New Roman" w:hAnsi="Times New Roman"/>
        </w:rPr>
        <w:t xml:space="preserve"> Wisconsin</w:t>
      </w:r>
      <w:r w:rsidR="00B873EF">
        <w:rPr>
          <w:rFonts w:ascii="Times New Roman" w:hAnsi="Times New Roman"/>
        </w:rPr>
        <w:t xml:space="preserve"> </w:t>
      </w:r>
      <w:r w:rsidR="001C4E52">
        <w:rPr>
          <w:rFonts w:ascii="Times New Roman" w:hAnsi="Times New Roman"/>
        </w:rPr>
        <w:t>quotes which</w:t>
      </w:r>
      <w:r w:rsidR="00B873EF">
        <w:rPr>
          <w:rFonts w:ascii="Times New Roman" w:hAnsi="Times New Roman"/>
        </w:rPr>
        <w:t xml:space="preserve"> </w:t>
      </w:r>
      <w:r w:rsidR="006660CC">
        <w:rPr>
          <w:rFonts w:ascii="Times New Roman" w:hAnsi="Times New Roman"/>
        </w:rPr>
        <w:t>include</w:t>
      </w:r>
      <w:r w:rsidR="00B873EF">
        <w:rPr>
          <w:rFonts w:ascii="Times New Roman" w:hAnsi="Times New Roman"/>
        </w:rPr>
        <w:t xml:space="preserve"> deliver</w:t>
      </w:r>
      <w:r w:rsidR="006660CC">
        <w:rPr>
          <w:rFonts w:ascii="Times New Roman" w:hAnsi="Times New Roman"/>
        </w:rPr>
        <w:t>y</w:t>
      </w:r>
      <w:r w:rsidR="00B873EF">
        <w:rPr>
          <w:rFonts w:ascii="Times New Roman" w:hAnsi="Times New Roman"/>
        </w:rPr>
        <w:t xml:space="preserve"> to the farm</w:t>
      </w:r>
      <w:r>
        <w:rPr>
          <w:rFonts w:ascii="Times New Roman" w:hAnsi="Times New Roman"/>
        </w:rPr>
        <w:t xml:space="preserve">. The hay price is the </w:t>
      </w:r>
      <w:r w:rsidR="00C42A31">
        <w:rPr>
          <w:rFonts w:ascii="Times New Roman" w:hAnsi="Times New Roman"/>
        </w:rPr>
        <w:t>monthly USDA</w:t>
      </w:r>
      <w:r w:rsidR="00D8395C">
        <w:rPr>
          <w:rFonts w:ascii="Times New Roman" w:hAnsi="Times New Roman"/>
        </w:rPr>
        <w:t xml:space="preserve">, NASS </w:t>
      </w:r>
      <w:r>
        <w:rPr>
          <w:rFonts w:ascii="Times New Roman" w:hAnsi="Times New Roman"/>
        </w:rPr>
        <w:t xml:space="preserve">national </w:t>
      </w:r>
      <w:r w:rsidR="00411368">
        <w:rPr>
          <w:rFonts w:ascii="Times New Roman" w:hAnsi="Times New Roman"/>
        </w:rPr>
        <w:t>al</w:t>
      </w:r>
      <w:r w:rsidR="00151785">
        <w:rPr>
          <w:rFonts w:ascii="Times New Roman" w:hAnsi="Times New Roman"/>
        </w:rPr>
        <w:t>l hay</w:t>
      </w:r>
      <w:r w:rsidR="0041136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average</w:t>
      </w:r>
      <w:r w:rsidR="00544893">
        <w:rPr>
          <w:rFonts w:ascii="Times New Roman" w:hAnsi="Times New Roman"/>
        </w:rPr>
        <w:t xml:space="preserve"> quote</w:t>
      </w:r>
      <w:r w:rsidR="00FB6EF5">
        <w:rPr>
          <w:rFonts w:ascii="Times New Roman" w:hAnsi="Times New Roman"/>
        </w:rPr>
        <w:t xml:space="preserve"> </w:t>
      </w:r>
      <w:r w:rsidR="00FF41F6">
        <w:rPr>
          <w:rFonts w:ascii="Times New Roman" w:hAnsi="Times New Roman"/>
        </w:rPr>
        <w:t>prior to</w:t>
      </w:r>
      <w:r w:rsidR="00FB6EF5">
        <w:rPr>
          <w:rFonts w:ascii="Times New Roman" w:hAnsi="Times New Roman"/>
        </w:rPr>
        <w:t xml:space="preserve"> this report</w:t>
      </w:r>
      <w:r w:rsidR="00C42A31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Corn silage is valued fr</w:t>
      </w:r>
      <w:r w:rsidR="00E71F28">
        <w:rPr>
          <w:rFonts w:ascii="Times New Roman" w:hAnsi="Times New Roman"/>
        </w:rPr>
        <w:t>o</w:t>
      </w:r>
      <w:r>
        <w:rPr>
          <w:rFonts w:ascii="Times New Roman" w:hAnsi="Times New Roman"/>
        </w:rPr>
        <w:t>m the “Pricer</w:t>
      </w:r>
      <w:r w:rsidR="00E71F28">
        <w:rPr>
          <w:rFonts w:ascii="Times New Roman" w:hAnsi="Times New Roman"/>
        </w:rPr>
        <w:t>.exe</w:t>
      </w:r>
      <w:r>
        <w:rPr>
          <w:rFonts w:ascii="Times New Roman" w:hAnsi="Times New Roman"/>
        </w:rPr>
        <w:t>” spreadsheet by Howard</w:t>
      </w:r>
      <w:r w:rsidR="00F84D23">
        <w:rPr>
          <w:rFonts w:ascii="Times New Roman" w:hAnsi="Times New Roman"/>
        </w:rPr>
        <w:t xml:space="preserve"> and Shaver</w:t>
      </w:r>
      <w:r>
        <w:rPr>
          <w:rFonts w:ascii="Times New Roman" w:hAnsi="Times New Roman"/>
        </w:rPr>
        <w:t>. A</w:t>
      </w:r>
      <w:r w:rsidR="00775E3B">
        <w:rPr>
          <w:rFonts w:ascii="Times New Roman" w:hAnsi="Times New Roman"/>
        </w:rPr>
        <w:t>n assumed</w:t>
      </w:r>
      <w:r>
        <w:rPr>
          <w:rFonts w:ascii="Times New Roman" w:hAnsi="Times New Roman"/>
        </w:rPr>
        <w:t xml:space="preserve"> blended forage ration of 50:50 </w:t>
      </w:r>
      <w:r w:rsidR="004266CC">
        <w:rPr>
          <w:rFonts w:ascii="Times New Roman" w:hAnsi="Times New Roman"/>
        </w:rPr>
        <w:t xml:space="preserve">(Dry Matter basis) </w:t>
      </w:r>
      <w:r>
        <w:rPr>
          <w:rFonts w:ascii="Times New Roman" w:hAnsi="Times New Roman"/>
        </w:rPr>
        <w:t>haylage</w:t>
      </w:r>
      <w:r w:rsidR="000E34DB">
        <w:rPr>
          <w:rFonts w:ascii="Times New Roman" w:hAnsi="Times New Roman"/>
        </w:rPr>
        <w:t>: corn</w:t>
      </w:r>
      <w:r>
        <w:rPr>
          <w:rFonts w:ascii="Times New Roman" w:hAnsi="Times New Roman"/>
        </w:rPr>
        <w:t xml:space="preserve"> silage </w:t>
      </w:r>
      <w:r w:rsidR="006660CC">
        <w:rPr>
          <w:rFonts w:ascii="Times New Roman" w:hAnsi="Times New Roman"/>
        </w:rPr>
        <w:t>value</w:t>
      </w:r>
      <w:r>
        <w:rPr>
          <w:rFonts w:ascii="Times New Roman" w:hAnsi="Times New Roman"/>
        </w:rPr>
        <w:t xml:space="preserve"> is calculated based on the above determined prices.</w:t>
      </w:r>
      <w:r w:rsidR="00E71F28">
        <w:rPr>
          <w:rFonts w:ascii="Times New Roman" w:hAnsi="Times New Roman"/>
        </w:rPr>
        <w:t xml:space="preserve"> The </w:t>
      </w:r>
      <w:r w:rsidR="00B11489" w:rsidRPr="00B11489">
        <w:rPr>
          <w:rFonts w:ascii="Times New Roman" w:hAnsi="Times New Roman"/>
          <w:i/>
        </w:rPr>
        <w:t>“</w:t>
      </w:r>
      <w:r w:rsidR="00E71F28" w:rsidRPr="00B11489">
        <w:rPr>
          <w:rFonts w:ascii="Times New Roman" w:hAnsi="Times New Roman"/>
          <w:i/>
        </w:rPr>
        <w:t>Wisconsin Dairy Enterprise Planning Budget (2008)</w:t>
      </w:r>
      <w:r w:rsidR="00B11489" w:rsidRPr="00B11489">
        <w:rPr>
          <w:rFonts w:ascii="Times New Roman" w:hAnsi="Times New Roman"/>
          <w:i/>
        </w:rPr>
        <w:t>”</w:t>
      </w:r>
      <w:r w:rsidR="00E71F28">
        <w:rPr>
          <w:rFonts w:ascii="Times New Roman" w:hAnsi="Times New Roman"/>
        </w:rPr>
        <w:t xml:space="preserve"> by Jones and Barnett</w:t>
      </w:r>
      <w:r w:rsidR="00770F9B">
        <w:rPr>
          <w:rFonts w:ascii="Times New Roman" w:hAnsi="Times New Roman"/>
        </w:rPr>
        <w:t xml:space="preserve"> </w:t>
      </w:r>
      <w:hyperlink r:id="rId7" w:history="1">
        <w:r w:rsidR="00770F9B" w:rsidRPr="00E13B25">
          <w:rPr>
            <w:rStyle w:val="Hyperlink"/>
            <w:rFonts w:ascii="Times New Roman" w:hAnsi="Times New Roman"/>
          </w:rPr>
          <w:t>http://cdp.wisc.edu/Decision%20Making%20Tools.htm</w:t>
        </w:r>
      </w:hyperlink>
      <w:r w:rsidR="00770F9B">
        <w:rPr>
          <w:rFonts w:ascii="Times New Roman" w:hAnsi="Times New Roman"/>
        </w:rPr>
        <w:t xml:space="preserve"> </w:t>
      </w:r>
      <w:r w:rsidR="00E71F28">
        <w:rPr>
          <w:rFonts w:ascii="Times New Roman" w:hAnsi="Times New Roman"/>
        </w:rPr>
        <w:t>is utilized in calculating COP.</w:t>
      </w:r>
    </w:p>
    <w:p w:rsidR="00AB34E8" w:rsidRDefault="00E71F28" w:rsidP="00B8020C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Th</w:t>
      </w:r>
      <w:r w:rsidR="00172168">
        <w:rPr>
          <w:rFonts w:ascii="Times New Roman" w:hAnsi="Times New Roman"/>
        </w:rPr>
        <w:t>e</w:t>
      </w:r>
      <w:r w:rsidR="009225C7">
        <w:rPr>
          <w:rFonts w:ascii="Times New Roman" w:hAnsi="Times New Roman"/>
        </w:rPr>
        <w:t xml:space="preserve"> </w:t>
      </w:r>
      <w:r w:rsidR="00844910">
        <w:rPr>
          <w:rFonts w:ascii="Times New Roman" w:hAnsi="Times New Roman"/>
        </w:rPr>
        <w:t xml:space="preserve">Class III </w:t>
      </w:r>
      <w:r w:rsidR="007A1DD3">
        <w:rPr>
          <w:rFonts w:ascii="Times New Roman" w:hAnsi="Times New Roman"/>
        </w:rPr>
        <w:t xml:space="preserve">Futures </w:t>
      </w:r>
      <w:r w:rsidR="00844910">
        <w:rPr>
          <w:rFonts w:ascii="Times New Roman" w:hAnsi="Times New Roman"/>
        </w:rPr>
        <w:t xml:space="preserve">price </w:t>
      </w:r>
      <w:r w:rsidR="00E222B4">
        <w:rPr>
          <w:rFonts w:ascii="Times New Roman" w:hAnsi="Times New Roman"/>
        </w:rPr>
        <w:t xml:space="preserve">for </w:t>
      </w:r>
      <w:r w:rsidR="00242CD0">
        <w:rPr>
          <w:rFonts w:ascii="Times New Roman" w:hAnsi="Times New Roman"/>
          <w:b/>
        </w:rPr>
        <w:t>Novem</w:t>
      </w:r>
      <w:r w:rsidR="00941593">
        <w:rPr>
          <w:rFonts w:ascii="Times New Roman" w:hAnsi="Times New Roman"/>
          <w:b/>
        </w:rPr>
        <w:t>ber</w:t>
      </w:r>
      <w:r w:rsidR="007A1DD3">
        <w:rPr>
          <w:rFonts w:ascii="Times New Roman" w:hAnsi="Times New Roman"/>
        </w:rPr>
        <w:t>, 20</w:t>
      </w:r>
      <w:r w:rsidR="00A6253A">
        <w:rPr>
          <w:rFonts w:ascii="Times New Roman" w:hAnsi="Times New Roman"/>
        </w:rPr>
        <w:t>1</w:t>
      </w:r>
      <w:r w:rsidR="00605078">
        <w:rPr>
          <w:rFonts w:ascii="Times New Roman" w:hAnsi="Times New Roman"/>
        </w:rPr>
        <w:t>2</w:t>
      </w:r>
      <w:r w:rsidR="007A1DD3">
        <w:rPr>
          <w:rFonts w:ascii="Times New Roman" w:hAnsi="Times New Roman"/>
        </w:rPr>
        <w:t xml:space="preserve"> </w:t>
      </w:r>
      <w:r w:rsidR="00E222B4">
        <w:rPr>
          <w:rFonts w:ascii="Times New Roman" w:hAnsi="Times New Roman"/>
        </w:rPr>
        <w:t>i</w:t>
      </w:r>
      <w:r w:rsidR="009225C7">
        <w:rPr>
          <w:rFonts w:ascii="Times New Roman" w:hAnsi="Times New Roman"/>
        </w:rPr>
        <w:t>s</w:t>
      </w:r>
      <w:r w:rsidR="007A1DD3">
        <w:rPr>
          <w:rFonts w:ascii="Times New Roman" w:hAnsi="Times New Roman"/>
        </w:rPr>
        <w:t xml:space="preserve"> </w:t>
      </w:r>
      <w:r w:rsidR="00E222B4">
        <w:rPr>
          <w:rFonts w:ascii="Times New Roman" w:hAnsi="Times New Roman"/>
        </w:rPr>
        <w:t xml:space="preserve">expected to be </w:t>
      </w:r>
      <w:r w:rsidR="00844910">
        <w:rPr>
          <w:rFonts w:ascii="Times New Roman" w:hAnsi="Times New Roman"/>
        </w:rPr>
        <w:t>$</w:t>
      </w:r>
      <w:r w:rsidR="00850D99">
        <w:rPr>
          <w:rFonts w:ascii="Times New Roman" w:hAnsi="Times New Roman"/>
        </w:rPr>
        <w:t>2</w:t>
      </w:r>
      <w:r w:rsidR="00242CD0">
        <w:rPr>
          <w:rFonts w:ascii="Times New Roman" w:hAnsi="Times New Roman"/>
        </w:rPr>
        <w:t>0</w:t>
      </w:r>
      <w:r w:rsidR="00844910">
        <w:rPr>
          <w:rFonts w:ascii="Times New Roman" w:hAnsi="Times New Roman"/>
        </w:rPr>
        <w:t>.</w:t>
      </w:r>
      <w:r w:rsidR="00242CD0">
        <w:rPr>
          <w:rFonts w:ascii="Times New Roman" w:hAnsi="Times New Roman"/>
        </w:rPr>
        <w:t>9</w:t>
      </w:r>
      <w:r w:rsidR="00850D99">
        <w:rPr>
          <w:rFonts w:ascii="Times New Roman" w:hAnsi="Times New Roman"/>
        </w:rPr>
        <w:t>0</w:t>
      </w:r>
      <w:r w:rsidR="00795F2E">
        <w:rPr>
          <w:rFonts w:ascii="Times New Roman" w:hAnsi="Times New Roman"/>
        </w:rPr>
        <w:t xml:space="preserve"> </w:t>
      </w:r>
      <w:r w:rsidR="00CE63ED">
        <w:rPr>
          <w:rFonts w:ascii="Times New Roman" w:hAnsi="Times New Roman"/>
        </w:rPr>
        <w:t>(</w:t>
      </w:r>
      <w:r w:rsidR="00242CD0">
        <w:rPr>
          <w:rFonts w:ascii="Times New Roman" w:hAnsi="Times New Roman"/>
        </w:rPr>
        <w:t>-</w:t>
      </w:r>
      <w:r w:rsidR="005A4A68">
        <w:rPr>
          <w:rFonts w:ascii="Times New Roman" w:hAnsi="Times New Roman"/>
        </w:rPr>
        <w:t>$</w:t>
      </w:r>
      <w:r w:rsidR="00242CD0">
        <w:rPr>
          <w:rFonts w:ascii="Times New Roman" w:hAnsi="Times New Roman"/>
        </w:rPr>
        <w:t>0.12</w:t>
      </w:r>
      <w:r w:rsidR="005F12E8">
        <w:rPr>
          <w:rFonts w:ascii="Times New Roman" w:hAnsi="Times New Roman"/>
        </w:rPr>
        <w:t xml:space="preserve"> </w:t>
      </w:r>
      <w:r w:rsidR="00B873EF">
        <w:rPr>
          <w:rFonts w:ascii="Times New Roman" w:hAnsi="Times New Roman"/>
        </w:rPr>
        <w:t>from</w:t>
      </w:r>
      <w:r w:rsidR="00EE232F">
        <w:rPr>
          <w:rFonts w:ascii="Times New Roman" w:hAnsi="Times New Roman"/>
        </w:rPr>
        <w:t xml:space="preserve"> </w:t>
      </w:r>
      <w:r w:rsidR="00242CD0">
        <w:rPr>
          <w:rFonts w:ascii="Times New Roman" w:hAnsi="Times New Roman"/>
        </w:rPr>
        <w:t>Octo</w:t>
      </w:r>
      <w:r w:rsidR="00850D99">
        <w:rPr>
          <w:rFonts w:ascii="Times New Roman" w:hAnsi="Times New Roman"/>
        </w:rPr>
        <w:t>ber</w:t>
      </w:r>
      <w:r w:rsidR="004976E6">
        <w:rPr>
          <w:rFonts w:ascii="Times New Roman" w:hAnsi="Times New Roman"/>
        </w:rPr>
        <w:t>)</w:t>
      </w:r>
      <w:r w:rsidR="00844910">
        <w:rPr>
          <w:rFonts w:ascii="Times New Roman" w:hAnsi="Times New Roman"/>
        </w:rPr>
        <w:t xml:space="preserve"> yielding a </w:t>
      </w:r>
      <w:r>
        <w:rPr>
          <w:rFonts w:ascii="Times New Roman" w:hAnsi="Times New Roman"/>
        </w:rPr>
        <w:t xml:space="preserve">predicted </w:t>
      </w:r>
      <w:r w:rsidR="00886E3B">
        <w:rPr>
          <w:rFonts w:ascii="Times New Roman" w:hAnsi="Times New Roman"/>
        </w:rPr>
        <w:t>M</w:t>
      </w:r>
      <w:r>
        <w:rPr>
          <w:rFonts w:ascii="Times New Roman" w:hAnsi="Times New Roman"/>
        </w:rPr>
        <w:t xml:space="preserve">ailbox </w:t>
      </w:r>
      <w:r w:rsidR="00886E3B">
        <w:rPr>
          <w:rFonts w:ascii="Times New Roman" w:hAnsi="Times New Roman"/>
        </w:rPr>
        <w:t>P</w:t>
      </w:r>
      <w:r>
        <w:rPr>
          <w:rFonts w:ascii="Times New Roman" w:hAnsi="Times New Roman"/>
        </w:rPr>
        <w:t xml:space="preserve">rice </w:t>
      </w:r>
      <w:r w:rsidR="00AB34E8">
        <w:rPr>
          <w:rFonts w:ascii="Times New Roman" w:hAnsi="Times New Roman"/>
        </w:rPr>
        <w:t>of</w:t>
      </w:r>
      <w:r w:rsidR="00A14DB4">
        <w:rPr>
          <w:rFonts w:ascii="Times New Roman" w:hAnsi="Times New Roman"/>
        </w:rPr>
        <w:t xml:space="preserve"> $</w:t>
      </w:r>
      <w:r w:rsidR="00850D99">
        <w:rPr>
          <w:rFonts w:ascii="Times New Roman" w:hAnsi="Times New Roman"/>
        </w:rPr>
        <w:t>22</w:t>
      </w:r>
      <w:r w:rsidR="00957BC1">
        <w:rPr>
          <w:rFonts w:ascii="Times New Roman" w:hAnsi="Times New Roman"/>
        </w:rPr>
        <w:t>.</w:t>
      </w:r>
      <w:r w:rsidR="00242CD0">
        <w:rPr>
          <w:rFonts w:ascii="Times New Roman" w:hAnsi="Times New Roman"/>
        </w:rPr>
        <w:t>25</w:t>
      </w:r>
      <w:r>
        <w:rPr>
          <w:rFonts w:ascii="Times New Roman" w:hAnsi="Times New Roman"/>
        </w:rPr>
        <w:t>/cwt</w:t>
      </w:r>
      <w:r w:rsidR="004976E6">
        <w:rPr>
          <w:rFonts w:ascii="Times New Roman" w:hAnsi="Times New Roman"/>
        </w:rPr>
        <w:t xml:space="preserve"> </w:t>
      </w:r>
      <w:r w:rsidR="002B01CF">
        <w:rPr>
          <w:rFonts w:ascii="Times New Roman" w:hAnsi="Times New Roman"/>
        </w:rPr>
        <w:t>(</w:t>
      </w:r>
      <w:r w:rsidR="00242CD0">
        <w:rPr>
          <w:rFonts w:ascii="Times New Roman" w:hAnsi="Times New Roman"/>
        </w:rPr>
        <w:t>-</w:t>
      </w:r>
      <w:r w:rsidR="002B01CF">
        <w:rPr>
          <w:rFonts w:ascii="Times New Roman" w:hAnsi="Times New Roman"/>
        </w:rPr>
        <w:t>$</w:t>
      </w:r>
      <w:r w:rsidR="00242CD0">
        <w:rPr>
          <w:rFonts w:ascii="Times New Roman" w:hAnsi="Times New Roman"/>
        </w:rPr>
        <w:t>0</w:t>
      </w:r>
      <w:r w:rsidR="004976E6">
        <w:rPr>
          <w:rFonts w:ascii="Times New Roman" w:hAnsi="Times New Roman"/>
        </w:rPr>
        <w:t>.</w:t>
      </w:r>
      <w:r w:rsidR="00242CD0">
        <w:rPr>
          <w:rFonts w:ascii="Times New Roman" w:hAnsi="Times New Roman"/>
        </w:rPr>
        <w:t>15</w:t>
      </w:r>
      <w:r w:rsidR="00C41B9B">
        <w:rPr>
          <w:rFonts w:ascii="Times New Roman" w:hAnsi="Times New Roman"/>
        </w:rPr>
        <w:t>)</w:t>
      </w:r>
      <w:r w:rsidR="00615268">
        <w:rPr>
          <w:rFonts w:ascii="Times New Roman" w:hAnsi="Times New Roman"/>
        </w:rPr>
        <w:t xml:space="preserve"> </w:t>
      </w:r>
      <w:r w:rsidR="00F833AA">
        <w:rPr>
          <w:rFonts w:ascii="Times New Roman" w:hAnsi="Times New Roman"/>
        </w:rPr>
        <w:t>compared to the</w:t>
      </w:r>
      <w:r w:rsidR="00075E64">
        <w:rPr>
          <w:rFonts w:ascii="Times New Roman" w:hAnsi="Times New Roman"/>
        </w:rPr>
        <w:t xml:space="preserve"> </w:t>
      </w:r>
      <w:r w:rsidR="00242CD0">
        <w:rPr>
          <w:rFonts w:ascii="Times New Roman" w:hAnsi="Times New Roman"/>
        </w:rPr>
        <w:t>Octo</w:t>
      </w:r>
      <w:r w:rsidR="00850D99">
        <w:rPr>
          <w:rFonts w:ascii="Times New Roman" w:hAnsi="Times New Roman"/>
        </w:rPr>
        <w:t>ber</w:t>
      </w:r>
      <w:r w:rsidR="00615268">
        <w:rPr>
          <w:rFonts w:ascii="Times New Roman" w:hAnsi="Times New Roman"/>
        </w:rPr>
        <w:t xml:space="preserve"> price of $</w:t>
      </w:r>
      <w:r w:rsidR="00242CD0">
        <w:rPr>
          <w:rFonts w:ascii="Times New Roman" w:hAnsi="Times New Roman"/>
        </w:rPr>
        <w:t>22.40</w:t>
      </w:r>
      <w:r w:rsidR="002B01CF">
        <w:rPr>
          <w:rFonts w:ascii="Times New Roman" w:hAnsi="Times New Roman"/>
        </w:rPr>
        <w:t>,</w:t>
      </w:r>
      <w:r w:rsidR="009225C7">
        <w:rPr>
          <w:rFonts w:ascii="Times New Roman" w:hAnsi="Times New Roman"/>
        </w:rPr>
        <w:t xml:space="preserve"> </w:t>
      </w:r>
      <w:r w:rsidR="00B873EF">
        <w:rPr>
          <w:rFonts w:ascii="Times New Roman" w:hAnsi="Times New Roman"/>
        </w:rPr>
        <w:t>with</w:t>
      </w:r>
      <w:r w:rsidR="00CE63ED">
        <w:rPr>
          <w:rFonts w:ascii="Times New Roman" w:hAnsi="Times New Roman"/>
        </w:rPr>
        <w:t xml:space="preserve"> seasonal adjustments</w:t>
      </w:r>
      <w:r w:rsidR="004976E6">
        <w:rPr>
          <w:rFonts w:ascii="Times New Roman" w:hAnsi="Times New Roman"/>
        </w:rPr>
        <w:t xml:space="preserve">. </w:t>
      </w:r>
      <w:r w:rsidR="00941593">
        <w:rPr>
          <w:rFonts w:ascii="Times New Roman" w:hAnsi="Times New Roman"/>
        </w:rPr>
        <w:t>No</w:t>
      </w:r>
      <w:r w:rsidR="00070E4F">
        <w:rPr>
          <w:rFonts w:ascii="Times New Roman" w:hAnsi="Times New Roman"/>
        </w:rPr>
        <w:t xml:space="preserve"> </w:t>
      </w:r>
      <w:r w:rsidR="00B602BB">
        <w:rPr>
          <w:rFonts w:ascii="Times New Roman" w:hAnsi="Times New Roman"/>
        </w:rPr>
        <w:t xml:space="preserve">MILC </w:t>
      </w:r>
      <w:r w:rsidR="00BB30C9">
        <w:rPr>
          <w:rFonts w:ascii="Times New Roman" w:hAnsi="Times New Roman"/>
        </w:rPr>
        <w:t>payment is predicted for</w:t>
      </w:r>
      <w:r w:rsidR="004976E6">
        <w:rPr>
          <w:rFonts w:ascii="Times New Roman" w:hAnsi="Times New Roman"/>
        </w:rPr>
        <w:t xml:space="preserve"> </w:t>
      </w:r>
      <w:r w:rsidR="00242CD0">
        <w:rPr>
          <w:rFonts w:ascii="Times New Roman" w:hAnsi="Times New Roman"/>
          <w:b/>
        </w:rPr>
        <w:t>Novem</w:t>
      </w:r>
      <w:r w:rsidR="00941593">
        <w:rPr>
          <w:rFonts w:ascii="Times New Roman" w:hAnsi="Times New Roman"/>
          <w:b/>
        </w:rPr>
        <w:t>ber</w:t>
      </w:r>
      <w:r w:rsidR="00BB30C9">
        <w:rPr>
          <w:rFonts w:ascii="Times New Roman" w:hAnsi="Times New Roman"/>
          <w:b/>
        </w:rPr>
        <w:t xml:space="preserve"> </w:t>
      </w:r>
      <w:r w:rsidR="00BB30C9" w:rsidRPr="00BB30C9">
        <w:rPr>
          <w:rFonts w:ascii="Times New Roman" w:hAnsi="Times New Roman"/>
        </w:rPr>
        <w:t>milk</w:t>
      </w:r>
      <w:r w:rsidR="00844910">
        <w:rPr>
          <w:rFonts w:ascii="Times New Roman" w:hAnsi="Times New Roman"/>
        </w:rPr>
        <w:t xml:space="preserve">. </w:t>
      </w:r>
      <w:r w:rsidR="005F12E8">
        <w:rPr>
          <w:rFonts w:ascii="Times New Roman" w:hAnsi="Times New Roman"/>
        </w:rPr>
        <w:t>Income</w:t>
      </w:r>
      <w:r w:rsidR="00844910">
        <w:rPr>
          <w:rFonts w:ascii="Times New Roman" w:hAnsi="Times New Roman"/>
        </w:rPr>
        <w:t xml:space="preserve"> </w:t>
      </w:r>
      <w:r w:rsidR="00AB34E8">
        <w:rPr>
          <w:rFonts w:ascii="Times New Roman" w:hAnsi="Times New Roman"/>
        </w:rPr>
        <w:t>is compared to feed price</w:t>
      </w:r>
      <w:r w:rsidR="00293605">
        <w:rPr>
          <w:rFonts w:ascii="Times New Roman" w:hAnsi="Times New Roman"/>
        </w:rPr>
        <w:t>s</w:t>
      </w:r>
      <w:r w:rsidR="00AB34E8">
        <w:rPr>
          <w:rFonts w:ascii="Times New Roman" w:hAnsi="Times New Roman"/>
        </w:rPr>
        <w:t xml:space="preserve"> of; corn</w:t>
      </w:r>
      <w:r w:rsidR="00EF6112">
        <w:rPr>
          <w:rFonts w:ascii="Times New Roman" w:hAnsi="Times New Roman"/>
        </w:rPr>
        <w:t xml:space="preserve"> (</w:t>
      </w:r>
      <w:r w:rsidR="008C41E7">
        <w:rPr>
          <w:rFonts w:ascii="Times New Roman" w:hAnsi="Times New Roman"/>
        </w:rPr>
        <w:t>cracke</w:t>
      </w:r>
      <w:r w:rsidR="00EF6112">
        <w:rPr>
          <w:rFonts w:ascii="Times New Roman" w:hAnsi="Times New Roman"/>
        </w:rPr>
        <w:t>d)</w:t>
      </w:r>
      <w:r w:rsidR="006660CC">
        <w:rPr>
          <w:rFonts w:ascii="Times New Roman" w:hAnsi="Times New Roman"/>
        </w:rPr>
        <w:t xml:space="preserve"> </w:t>
      </w:r>
      <w:r w:rsidR="00AB34E8">
        <w:rPr>
          <w:rFonts w:ascii="Times New Roman" w:hAnsi="Times New Roman"/>
        </w:rPr>
        <w:t>- $</w:t>
      </w:r>
      <w:r w:rsidR="00242CD0">
        <w:rPr>
          <w:rFonts w:ascii="Times New Roman" w:hAnsi="Times New Roman"/>
        </w:rPr>
        <w:t>7.76</w:t>
      </w:r>
      <w:r w:rsidR="00AB34E8">
        <w:rPr>
          <w:rFonts w:ascii="Times New Roman" w:hAnsi="Times New Roman"/>
        </w:rPr>
        <w:t>/bu.</w:t>
      </w:r>
      <w:r w:rsidR="00941593">
        <w:rPr>
          <w:rFonts w:ascii="Times New Roman" w:hAnsi="Times New Roman"/>
        </w:rPr>
        <w:t xml:space="preserve"> (</w:t>
      </w:r>
      <w:r w:rsidR="00242CD0">
        <w:rPr>
          <w:rFonts w:ascii="Times New Roman" w:hAnsi="Times New Roman"/>
        </w:rPr>
        <w:t>-$0.28</w:t>
      </w:r>
      <w:r w:rsidR="004976E6">
        <w:rPr>
          <w:rFonts w:ascii="Times New Roman" w:hAnsi="Times New Roman"/>
        </w:rPr>
        <w:t>)</w:t>
      </w:r>
      <w:r w:rsidR="00AB34E8">
        <w:rPr>
          <w:rFonts w:ascii="Times New Roman" w:hAnsi="Times New Roman"/>
        </w:rPr>
        <w:t>, SBOM- $</w:t>
      </w:r>
      <w:r w:rsidR="00242CD0">
        <w:rPr>
          <w:rFonts w:ascii="Times New Roman" w:hAnsi="Times New Roman"/>
        </w:rPr>
        <w:t>478</w:t>
      </w:r>
      <w:r w:rsidR="00AB34E8">
        <w:rPr>
          <w:rFonts w:ascii="Times New Roman" w:hAnsi="Times New Roman"/>
        </w:rPr>
        <w:t>/ton</w:t>
      </w:r>
      <w:r w:rsidR="004976E6">
        <w:rPr>
          <w:rFonts w:ascii="Times New Roman" w:hAnsi="Times New Roman"/>
        </w:rPr>
        <w:t xml:space="preserve"> (</w:t>
      </w:r>
      <w:r w:rsidR="00941593">
        <w:rPr>
          <w:rFonts w:ascii="Times New Roman" w:hAnsi="Times New Roman"/>
        </w:rPr>
        <w:t>-</w:t>
      </w:r>
      <w:r w:rsidR="00E222B4">
        <w:rPr>
          <w:rFonts w:ascii="Times New Roman" w:hAnsi="Times New Roman"/>
        </w:rPr>
        <w:t>$</w:t>
      </w:r>
      <w:r w:rsidR="00242CD0">
        <w:rPr>
          <w:rFonts w:ascii="Times New Roman" w:hAnsi="Times New Roman"/>
        </w:rPr>
        <w:t>18</w:t>
      </w:r>
      <w:r w:rsidR="004976E6">
        <w:rPr>
          <w:rFonts w:ascii="Times New Roman" w:hAnsi="Times New Roman"/>
        </w:rPr>
        <w:t>)</w:t>
      </w:r>
      <w:r w:rsidR="00AB34E8">
        <w:rPr>
          <w:rFonts w:ascii="Times New Roman" w:hAnsi="Times New Roman"/>
        </w:rPr>
        <w:t xml:space="preserve">, </w:t>
      </w:r>
      <w:r w:rsidR="00D60E9F">
        <w:rPr>
          <w:rFonts w:ascii="Times New Roman" w:hAnsi="Times New Roman"/>
        </w:rPr>
        <w:t xml:space="preserve">TM </w:t>
      </w:r>
      <w:r w:rsidR="00AB34E8">
        <w:rPr>
          <w:rFonts w:ascii="Times New Roman" w:hAnsi="Times New Roman"/>
        </w:rPr>
        <w:t>Salt- $1</w:t>
      </w:r>
      <w:r w:rsidR="00822E72">
        <w:rPr>
          <w:rFonts w:ascii="Times New Roman" w:hAnsi="Times New Roman"/>
        </w:rPr>
        <w:t>8</w:t>
      </w:r>
      <w:r w:rsidR="00AB34E8">
        <w:rPr>
          <w:rFonts w:ascii="Times New Roman" w:hAnsi="Times New Roman"/>
        </w:rPr>
        <w:t>.</w:t>
      </w:r>
      <w:r w:rsidR="00AE3CEF">
        <w:rPr>
          <w:rFonts w:ascii="Times New Roman" w:hAnsi="Times New Roman"/>
        </w:rPr>
        <w:t>10</w:t>
      </w:r>
      <w:r w:rsidR="00AB34E8">
        <w:rPr>
          <w:rFonts w:ascii="Times New Roman" w:hAnsi="Times New Roman"/>
        </w:rPr>
        <w:t>/cwt.</w:t>
      </w:r>
      <w:r w:rsidR="00795F2E">
        <w:rPr>
          <w:rFonts w:ascii="Times New Roman" w:hAnsi="Times New Roman"/>
        </w:rPr>
        <w:t xml:space="preserve"> </w:t>
      </w:r>
      <w:r w:rsidR="004976E6">
        <w:rPr>
          <w:rFonts w:ascii="Times New Roman" w:hAnsi="Times New Roman"/>
        </w:rPr>
        <w:t>(</w:t>
      </w:r>
      <w:r w:rsidR="004824FB">
        <w:rPr>
          <w:rFonts w:ascii="Times New Roman" w:hAnsi="Times New Roman"/>
        </w:rPr>
        <w:t>NC</w:t>
      </w:r>
      <w:r w:rsidR="00D43D73">
        <w:rPr>
          <w:rFonts w:ascii="Times New Roman" w:hAnsi="Times New Roman"/>
        </w:rPr>
        <w:t xml:space="preserve"> from November 2011</w:t>
      </w:r>
      <w:r w:rsidR="004976E6">
        <w:rPr>
          <w:rFonts w:ascii="Times New Roman" w:hAnsi="Times New Roman"/>
        </w:rPr>
        <w:t>)</w:t>
      </w:r>
      <w:r w:rsidR="00AB34E8">
        <w:rPr>
          <w:rFonts w:ascii="Times New Roman" w:hAnsi="Times New Roman"/>
        </w:rPr>
        <w:t xml:space="preserve"> </w:t>
      </w:r>
      <w:r w:rsidR="00293605">
        <w:rPr>
          <w:rFonts w:ascii="Times New Roman" w:hAnsi="Times New Roman"/>
        </w:rPr>
        <w:t>a</w:t>
      </w:r>
      <w:r w:rsidR="00AB34E8">
        <w:rPr>
          <w:rFonts w:ascii="Times New Roman" w:hAnsi="Times New Roman"/>
        </w:rPr>
        <w:t>nd Dical- $</w:t>
      </w:r>
      <w:r w:rsidR="00CE63ED">
        <w:rPr>
          <w:rFonts w:ascii="Times New Roman" w:hAnsi="Times New Roman"/>
        </w:rPr>
        <w:t>4</w:t>
      </w:r>
      <w:r w:rsidR="00FC7682">
        <w:rPr>
          <w:rFonts w:ascii="Times New Roman" w:hAnsi="Times New Roman"/>
        </w:rPr>
        <w:t>8</w:t>
      </w:r>
      <w:r w:rsidR="00AB34E8">
        <w:rPr>
          <w:rFonts w:ascii="Times New Roman" w:hAnsi="Times New Roman"/>
        </w:rPr>
        <w:t>.</w:t>
      </w:r>
      <w:r w:rsidR="00FC7682">
        <w:rPr>
          <w:rFonts w:ascii="Times New Roman" w:hAnsi="Times New Roman"/>
        </w:rPr>
        <w:t>3</w:t>
      </w:r>
      <w:r w:rsidR="009C150F">
        <w:rPr>
          <w:rFonts w:ascii="Times New Roman" w:hAnsi="Times New Roman"/>
        </w:rPr>
        <w:t>8</w:t>
      </w:r>
      <w:r w:rsidR="00AB34E8">
        <w:rPr>
          <w:rFonts w:ascii="Times New Roman" w:hAnsi="Times New Roman"/>
        </w:rPr>
        <w:t>/cwt</w:t>
      </w:r>
      <w:r w:rsidR="004976E6">
        <w:rPr>
          <w:rFonts w:ascii="Times New Roman" w:hAnsi="Times New Roman"/>
        </w:rPr>
        <w:t xml:space="preserve"> (</w:t>
      </w:r>
      <w:r w:rsidR="00957BC1">
        <w:rPr>
          <w:rFonts w:ascii="Times New Roman" w:hAnsi="Times New Roman"/>
        </w:rPr>
        <w:t>NC</w:t>
      </w:r>
      <w:r w:rsidR="004976E6">
        <w:rPr>
          <w:rFonts w:ascii="Times New Roman" w:hAnsi="Times New Roman"/>
        </w:rPr>
        <w:t xml:space="preserve"> from </w:t>
      </w:r>
      <w:r w:rsidR="005A4A68">
        <w:rPr>
          <w:rFonts w:ascii="Times New Roman" w:hAnsi="Times New Roman"/>
        </w:rPr>
        <w:t>Novem</w:t>
      </w:r>
      <w:r w:rsidR="002A1490">
        <w:rPr>
          <w:rFonts w:ascii="Times New Roman" w:hAnsi="Times New Roman"/>
        </w:rPr>
        <w:t>ber</w:t>
      </w:r>
      <w:r w:rsidR="00242CD0">
        <w:rPr>
          <w:rFonts w:ascii="Times New Roman" w:hAnsi="Times New Roman"/>
        </w:rPr>
        <w:t xml:space="preserve"> 2011</w:t>
      </w:r>
      <w:r w:rsidR="00EE232F">
        <w:rPr>
          <w:rFonts w:ascii="Times New Roman" w:hAnsi="Times New Roman"/>
        </w:rPr>
        <w:t>)</w:t>
      </w:r>
      <w:r w:rsidR="00AB34E8">
        <w:rPr>
          <w:rFonts w:ascii="Times New Roman" w:hAnsi="Times New Roman"/>
        </w:rPr>
        <w:t>. The national average al</w:t>
      </w:r>
      <w:r w:rsidR="00B72E49">
        <w:rPr>
          <w:rFonts w:ascii="Times New Roman" w:hAnsi="Times New Roman"/>
        </w:rPr>
        <w:t>l hay p</w:t>
      </w:r>
      <w:r w:rsidR="00AB34E8">
        <w:rPr>
          <w:rFonts w:ascii="Times New Roman" w:hAnsi="Times New Roman"/>
        </w:rPr>
        <w:t xml:space="preserve">rice reported by USDA for </w:t>
      </w:r>
      <w:r w:rsidR="00242CD0">
        <w:rPr>
          <w:rFonts w:ascii="Times New Roman" w:hAnsi="Times New Roman"/>
        </w:rPr>
        <w:t>Octo</w:t>
      </w:r>
      <w:r w:rsidR="00850D99">
        <w:rPr>
          <w:rFonts w:ascii="Times New Roman" w:hAnsi="Times New Roman"/>
        </w:rPr>
        <w:t>ber</w:t>
      </w:r>
      <w:r w:rsidR="00FA0BCF">
        <w:rPr>
          <w:rFonts w:ascii="Times New Roman" w:hAnsi="Times New Roman"/>
        </w:rPr>
        <w:t xml:space="preserve"> </w:t>
      </w:r>
      <w:r w:rsidR="00533139">
        <w:rPr>
          <w:rFonts w:ascii="Times New Roman" w:hAnsi="Times New Roman"/>
        </w:rPr>
        <w:t>wa</w:t>
      </w:r>
      <w:r w:rsidR="00AB34E8">
        <w:rPr>
          <w:rFonts w:ascii="Times New Roman" w:hAnsi="Times New Roman"/>
        </w:rPr>
        <w:t>s $1</w:t>
      </w:r>
      <w:r w:rsidR="00242CD0">
        <w:rPr>
          <w:rFonts w:ascii="Times New Roman" w:hAnsi="Times New Roman"/>
        </w:rPr>
        <w:t>93</w:t>
      </w:r>
      <w:r w:rsidR="00AB34E8">
        <w:rPr>
          <w:rFonts w:ascii="Times New Roman" w:hAnsi="Times New Roman"/>
        </w:rPr>
        <w:t xml:space="preserve">/ton </w:t>
      </w:r>
      <w:r w:rsidR="004976E6">
        <w:rPr>
          <w:rFonts w:ascii="Times New Roman" w:hAnsi="Times New Roman"/>
        </w:rPr>
        <w:t>(</w:t>
      </w:r>
      <w:r w:rsidR="00A30F15">
        <w:rPr>
          <w:rFonts w:ascii="Times New Roman" w:hAnsi="Times New Roman"/>
        </w:rPr>
        <w:t>$</w:t>
      </w:r>
      <w:r w:rsidR="00242CD0">
        <w:rPr>
          <w:rFonts w:ascii="Times New Roman" w:hAnsi="Times New Roman"/>
        </w:rPr>
        <w:t>6</w:t>
      </w:r>
      <w:r w:rsidR="00AE3CEF">
        <w:rPr>
          <w:rFonts w:ascii="Times New Roman" w:hAnsi="Times New Roman"/>
        </w:rPr>
        <w:t>.00</w:t>
      </w:r>
      <w:r w:rsidR="004976E6">
        <w:rPr>
          <w:rFonts w:ascii="Times New Roman" w:hAnsi="Times New Roman"/>
        </w:rPr>
        <w:t xml:space="preserve">) </w:t>
      </w:r>
      <w:r w:rsidR="00AB34E8">
        <w:rPr>
          <w:rFonts w:ascii="Times New Roman" w:hAnsi="Times New Roman"/>
        </w:rPr>
        <w:t>and the estimated value of corn silage is $</w:t>
      </w:r>
      <w:r w:rsidR="00242CD0">
        <w:rPr>
          <w:rFonts w:ascii="Times New Roman" w:hAnsi="Times New Roman"/>
        </w:rPr>
        <w:t>85</w:t>
      </w:r>
      <w:r w:rsidR="00AB34E8">
        <w:rPr>
          <w:rFonts w:ascii="Times New Roman" w:hAnsi="Times New Roman"/>
        </w:rPr>
        <w:t>/ton</w:t>
      </w:r>
      <w:r w:rsidR="00EF6895">
        <w:rPr>
          <w:rFonts w:ascii="Times New Roman" w:hAnsi="Times New Roman"/>
        </w:rPr>
        <w:t xml:space="preserve"> </w:t>
      </w:r>
      <w:r w:rsidR="004976E6">
        <w:rPr>
          <w:rFonts w:ascii="Times New Roman" w:hAnsi="Times New Roman"/>
        </w:rPr>
        <w:t>(</w:t>
      </w:r>
      <w:r w:rsidR="00416C25">
        <w:rPr>
          <w:rFonts w:ascii="Times New Roman" w:hAnsi="Times New Roman"/>
        </w:rPr>
        <w:t>$</w:t>
      </w:r>
      <w:r w:rsidR="00242CD0">
        <w:rPr>
          <w:rFonts w:ascii="Times New Roman" w:hAnsi="Times New Roman"/>
        </w:rPr>
        <w:t>2</w:t>
      </w:r>
      <w:r w:rsidR="004824FB">
        <w:rPr>
          <w:rFonts w:ascii="Times New Roman" w:hAnsi="Times New Roman"/>
        </w:rPr>
        <w:t>.00</w:t>
      </w:r>
      <w:r w:rsidR="00957BC1">
        <w:rPr>
          <w:rFonts w:ascii="Times New Roman" w:hAnsi="Times New Roman"/>
        </w:rPr>
        <w:t>)</w:t>
      </w:r>
      <w:r w:rsidR="00AB34E8">
        <w:rPr>
          <w:rFonts w:ascii="Times New Roman" w:hAnsi="Times New Roman"/>
        </w:rPr>
        <w:t xml:space="preserve">, both on an as-fed basis. </w:t>
      </w:r>
    </w:p>
    <w:p w:rsidR="00E90C92" w:rsidRDefault="00AB34E8" w:rsidP="00B8020C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The value of a purchased </w:t>
      </w:r>
      <w:r w:rsidR="00827B9F">
        <w:rPr>
          <w:rFonts w:ascii="Times New Roman" w:hAnsi="Times New Roman"/>
        </w:rPr>
        <w:t xml:space="preserve">replacement </w:t>
      </w:r>
      <w:r w:rsidR="00BB30C9">
        <w:rPr>
          <w:rFonts w:ascii="Times New Roman" w:hAnsi="Times New Roman"/>
        </w:rPr>
        <w:t>heifer</w:t>
      </w:r>
      <w:r w:rsidR="008701E5">
        <w:rPr>
          <w:rFonts w:ascii="Times New Roman" w:hAnsi="Times New Roman"/>
        </w:rPr>
        <w:t xml:space="preserve"> $</w:t>
      </w:r>
      <w:r w:rsidR="00BB5585">
        <w:rPr>
          <w:rFonts w:ascii="Times New Roman" w:hAnsi="Times New Roman"/>
        </w:rPr>
        <w:t>1</w:t>
      </w:r>
      <w:r w:rsidR="00AC1F38">
        <w:rPr>
          <w:rFonts w:ascii="Times New Roman" w:hAnsi="Times New Roman"/>
        </w:rPr>
        <w:t>,</w:t>
      </w:r>
      <w:r w:rsidR="003D6F7E">
        <w:rPr>
          <w:rFonts w:ascii="Times New Roman" w:hAnsi="Times New Roman"/>
        </w:rPr>
        <w:t>375</w:t>
      </w:r>
      <w:r w:rsidR="004164D2">
        <w:rPr>
          <w:rFonts w:ascii="Times New Roman" w:hAnsi="Times New Roman"/>
        </w:rPr>
        <w:t xml:space="preserve"> (</w:t>
      </w:r>
      <w:r w:rsidR="00850D99">
        <w:rPr>
          <w:rFonts w:ascii="Times New Roman" w:hAnsi="Times New Roman"/>
        </w:rPr>
        <w:t>-</w:t>
      </w:r>
      <w:r w:rsidR="00D348E6">
        <w:rPr>
          <w:rFonts w:ascii="Times New Roman" w:hAnsi="Times New Roman"/>
        </w:rPr>
        <w:t>$</w:t>
      </w:r>
      <w:r w:rsidR="003D6F7E">
        <w:rPr>
          <w:rFonts w:ascii="Times New Roman" w:hAnsi="Times New Roman"/>
        </w:rPr>
        <w:t>50</w:t>
      </w:r>
      <w:r w:rsidR="008701E5">
        <w:rPr>
          <w:rFonts w:ascii="Times New Roman" w:hAnsi="Times New Roman"/>
        </w:rPr>
        <w:t>)</w:t>
      </w:r>
      <w:r w:rsidR="00827B9F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="00827B9F">
        <w:rPr>
          <w:rFonts w:ascii="Times New Roman" w:hAnsi="Times New Roman"/>
        </w:rPr>
        <w:t xml:space="preserve">heifer </w:t>
      </w:r>
      <w:r>
        <w:rPr>
          <w:rFonts w:ascii="Times New Roman" w:hAnsi="Times New Roman"/>
        </w:rPr>
        <w:t>calf</w:t>
      </w:r>
      <w:r w:rsidR="008701E5">
        <w:rPr>
          <w:rFonts w:ascii="Times New Roman" w:hAnsi="Times New Roman"/>
        </w:rPr>
        <w:t xml:space="preserve"> </w:t>
      </w:r>
      <w:r w:rsidR="004164D2">
        <w:rPr>
          <w:rFonts w:ascii="Times New Roman" w:hAnsi="Times New Roman"/>
        </w:rPr>
        <w:t xml:space="preserve">at </w:t>
      </w:r>
      <w:r w:rsidR="008701E5">
        <w:rPr>
          <w:rFonts w:ascii="Times New Roman" w:hAnsi="Times New Roman"/>
        </w:rPr>
        <w:t>$</w:t>
      </w:r>
      <w:r w:rsidR="003D6F7E">
        <w:rPr>
          <w:rFonts w:ascii="Times New Roman" w:hAnsi="Times New Roman"/>
        </w:rPr>
        <w:t>10</w:t>
      </w:r>
      <w:r w:rsidR="00941593">
        <w:rPr>
          <w:rFonts w:ascii="Times New Roman" w:hAnsi="Times New Roman"/>
        </w:rPr>
        <w:t>2.50</w:t>
      </w:r>
      <w:r w:rsidR="00916E5D">
        <w:rPr>
          <w:rFonts w:ascii="Times New Roman" w:hAnsi="Times New Roman"/>
        </w:rPr>
        <w:t xml:space="preserve"> </w:t>
      </w:r>
      <w:r w:rsidR="004164D2">
        <w:rPr>
          <w:rFonts w:ascii="Times New Roman" w:hAnsi="Times New Roman"/>
        </w:rPr>
        <w:t>(</w:t>
      </w:r>
      <w:r w:rsidR="003D6F7E">
        <w:rPr>
          <w:rFonts w:ascii="Times New Roman" w:hAnsi="Times New Roman"/>
        </w:rPr>
        <w:t>-$10.00</w:t>
      </w:r>
      <w:r w:rsidR="008701E5">
        <w:rPr>
          <w:rFonts w:ascii="Times New Roman" w:hAnsi="Times New Roman"/>
        </w:rPr>
        <w:t>)</w:t>
      </w:r>
      <w:r w:rsidR="00827B9F">
        <w:rPr>
          <w:rFonts w:ascii="Times New Roman" w:hAnsi="Times New Roman"/>
        </w:rPr>
        <w:t xml:space="preserve"> and </w:t>
      </w:r>
      <w:r w:rsidR="00A04367">
        <w:rPr>
          <w:rFonts w:ascii="Times New Roman" w:hAnsi="Times New Roman"/>
        </w:rPr>
        <w:t xml:space="preserve">a 1,300 lb. </w:t>
      </w:r>
      <w:r w:rsidR="00827B9F">
        <w:rPr>
          <w:rFonts w:ascii="Times New Roman" w:hAnsi="Times New Roman"/>
        </w:rPr>
        <w:t>cull cow</w:t>
      </w:r>
      <w:r>
        <w:rPr>
          <w:rFonts w:ascii="Times New Roman" w:hAnsi="Times New Roman"/>
        </w:rPr>
        <w:t xml:space="preserve"> </w:t>
      </w:r>
      <w:r w:rsidR="004164D2">
        <w:rPr>
          <w:rFonts w:ascii="Times New Roman" w:hAnsi="Times New Roman"/>
        </w:rPr>
        <w:t xml:space="preserve">of </w:t>
      </w:r>
      <w:r w:rsidR="008701E5">
        <w:rPr>
          <w:rFonts w:ascii="Times New Roman" w:hAnsi="Times New Roman"/>
        </w:rPr>
        <w:t>$</w:t>
      </w:r>
      <w:r w:rsidR="003D6F7E">
        <w:rPr>
          <w:rFonts w:ascii="Times New Roman" w:hAnsi="Times New Roman"/>
        </w:rPr>
        <w:t>640.25</w:t>
      </w:r>
      <w:r w:rsidR="004164D2">
        <w:rPr>
          <w:rFonts w:ascii="Times New Roman" w:hAnsi="Times New Roman"/>
        </w:rPr>
        <w:t xml:space="preserve"> (</w:t>
      </w:r>
      <w:r w:rsidR="003D6F7E">
        <w:rPr>
          <w:rFonts w:ascii="Times New Roman" w:hAnsi="Times New Roman"/>
        </w:rPr>
        <w:t>-</w:t>
      </w:r>
      <w:r w:rsidR="00F866EA">
        <w:rPr>
          <w:rFonts w:ascii="Times New Roman" w:hAnsi="Times New Roman"/>
        </w:rPr>
        <w:t>$</w:t>
      </w:r>
      <w:r w:rsidR="003D6F7E">
        <w:rPr>
          <w:rFonts w:ascii="Times New Roman" w:hAnsi="Times New Roman"/>
        </w:rPr>
        <w:t>152</w:t>
      </w:r>
      <w:r w:rsidR="00941593">
        <w:rPr>
          <w:rFonts w:ascii="Times New Roman" w:hAnsi="Times New Roman"/>
        </w:rPr>
        <w:t>.</w:t>
      </w:r>
      <w:r w:rsidR="003D6F7E">
        <w:rPr>
          <w:rFonts w:ascii="Times New Roman" w:hAnsi="Times New Roman"/>
        </w:rPr>
        <w:t>7</w:t>
      </w:r>
      <w:r w:rsidR="00850D99">
        <w:rPr>
          <w:rFonts w:ascii="Times New Roman" w:hAnsi="Times New Roman"/>
        </w:rPr>
        <w:t>5</w:t>
      </w:r>
      <w:r w:rsidR="008701E5"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are averages reported by Wisconsin</w:t>
      </w:r>
      <w:r w:rsidR="00A04367">
        <w:rPr>
          <w:rFonts w:ascii="Times New Roman" w:hAnsi="Times New Roman"/>
        </w:rPr>
        <w:t xml:space="preserve"> markets for the week of this report</w:t>
      </w:r>
      <w:r w:rsidR="003F25DE">
        <w:rPr>
          <w:rFonts w:ascii="Times New Roman" w:hAnsi="Times New Roman"/>
        </w:rPr>
        <w:t xml:space="preserve">. </w:t>
      </w:r>
      <w:r w:rsidR="008701E5">
        <w:rPr>
          <w:rFonts w:ascii="Times New Roman" w:hAnsi="Times New Roman"/>
        </w:rPr>
        <w:t>Assumed production factors are common to the industry.</w:t>
      </w:r>
      <w:r w:rsidR="00B149F9">
        <w:rPr>
          <w:rFonts w:ascii="Times New Roman" w:hAnsi="Times New Roman"/>
        </w:rPr>
        <w:t xml:space="preserve"> Because the </w:t>
      </w:r>
      <w:r w:rsidR="00B149F9" w:rsidRPr="00B149F9">
        <w:rPr>
          <w:rFonts w:ascii="Times New Roman" w:hAnsi="Times New Roman"/>
          <w:i/>
        </w:rPr>
        <w:t>“Wisconsin Dairy Enterprise Budget 2008”</w:t>
      </w:r>
      <w:r w:rsidR="00B149F9">
        <w:rPr>
          <w:rFonts w:ascii="Times New Roman" w:hAnsi="Times New Roman"/>
        </w:rPr>
        <w:t xml:space="preserve"> assumes the sale of the heifer calf and purchase of a </w:t>
      </w:r>
      <w:r w:rsidR="004164D2">
        <w:rPr>
          <w:rFonts w:ascii="Times New Roman" w:hAnsi="Times New Roman"/>
        </w:rPr>
        <w:t>replacement</w:t>
      </w:r>
      <w:r w:rsidR="00E017D0">
        <w:rPr>
          <w:rFonts w:ascii="Times New Roman" w:hAnsi="Times New Roman"/>
        </w:rPr>
        <w:t xml:space="preserve"> at fresh</w:t>
      </w:r>
      <w:r w:rsidR="00843B8D">
        <w:rPr>
          <w:rFonts w:ascii="Times New Roman" w:hAnsi="Times New Roman"/>
        </w:rPr>
        <w:t>e</w:t>
      </w:r>
      <w:r w:rsidR="00E017D0">
        <w:rPr>
          <w:rFonts w:ascii="Times New Roman" w:hAnsi="Times New Roman"/>
        </w:rPr>
        <w:t>ning</w:t>
      </w:r>
      <w:r w:rsidR="00B149F9">
        <w:rPr>
          <w:rFonts w:ascii="Times New Roman" w:hAnsi="Times New Roman"/>
        </w:rPr>
        <w:t xml:space="preserve">, the calculated </w:t>
      </w:r>
      <w:r w:rsidR="00F833AA">
        <w:rPr>
          <w:rFonts w:ascii="Times New Roman" w:hAnsi="Times New Roman"/>
        </w:rPr>
        <w:t>Income over Feed Cost (</w:t>
      </w:r>
      <w:r w:rsidR="00B149F9">
        <w:rPr>
          <w:rFonts w:ascii="Times New Roman" w:hAnsi="Times New Roman"/>
        </w:rPr>
        <w:t>IOFC</w:t>
      </w:r>
      <w:r w:rsidR="00F833AA">
        <w:rPr>
          <w:rFonts w:ascii="Times New Roman" w:hAnsi="Times New Roman"/>
        </w:rPr>
        <w:t>)</w:t>
      </w:r>
      <w:r w:rsidR="00B149F9">
        <w:rPr>
          <w:rFonts w:ascii="Times New Roman" w:hAnsi="Times New Roman"/>
        </w:rPr>
        <w:t xml:space="preserve"> is for a lactating cow only.</w:t>
      </w:r>
      <w:r w:rsidR="008701E5">
        <w:rPr>
          <w:rFonts w:ascii="Times New Roman" w:hAnsi="Times New Roman"/>
        </w:rPr>
        <w:t xml:space="preserve"> V</w:t>
      </w:r>
      <w:r w:rsidR="00E90C92">
        <w:rPr>
          <w:rFonts w:ascii="Times New Roman" w:hAnsi="Times New Roman"/>
        </w:rPr>
        <w:t xml:space="preserve">ariable costs </w:t>
      </w:r>
      <w:r w:rsidR="008701E5">
        <w:rPr>
          <w:rFonts w:ascii="Times New Roman" w:hAnsi="Times New Roman"/>
        </w:rPr>
        <w:t xml:space="preserve">beyond feed </w:t>
      </w:r>
      <w:r w:rsidR="00E90C92">
        <w:rPr>
          <w:rFonts w:ascii="Times New Roman" w:hAnsi="Times New Roman"/>
        </w:rPr>
        <w:t xml:space="preserve">are </w:t>
      </w:r>
      <w:r w:rsidR="00B11489">
        <w:rPr>
          <w:rFonts w:ascii="Times New Roman" w:hAnsi="Times New Roman"/>
        </w:rPr>
        <w:t>typical</w:t>
      </w:r>
      <w:r w:rsidR="00E90C92">
        <w:rPr>
          <w:rFonts w:ascii="Times New Roman" w:hAnsi="Times New Roman"/>
        </w:rPr>
        <w:t xml:space="preserve"> of those reported by dairy producers submitting financial records to the AgF</w:t>
      </w:r>
      <w:r w:rsidR="00D76850">
        <w:rPr>
          <w:rFonts w:ascii="Times New Roman" w:hAnsi="Times New Roman"/>
        </w:rPr>
        <w:t>A</w:t>
      </w:r>
      <w:r w:rsidR="00E90C92">
        <w:rPr>
          <w:rFonts w:ascii="Times New Roman" w:hAnsi="Times New Roman"/>
        </w:rPr>
        <w:t xml:space="preserve"> data base</w:t>
      </w:r>
      <w:r w:rsidR="00F07DAE">
        <w:rPr>
          <w:rFonts w:ascii="Times New Roman" w:hAnsi="Times New Roman"/>
        </w:rPr>
        <w:t xml:space="preserve"> </w:t>
      </w:r>
      <w:r w:rsidR="00B149F9">
        <w:rPr>
          <w:rFonts w:ascii="Times New Roman" w:hAnsi="Times New Roman"/>
        </w:rPr>
        <w:t xml:space="preserve">with the cost of developing a replacement heifer factored out. </w:t>
      </w:r>
      <w:r w:rsidR="00E90C92">
        <w:rPr>
          <w:rFonts w:ascii="Times New Roman" w:hAnsi="Times New Roman"/>
        </w:rPr>
        <w:t xml:space="preserve">Fixed costs are those calculated by the </w:t>
      </w:r>
      <w:r w:rsidR="00B11489" w:rsidRPr="00B11489">
        <w:rPr>
          <w:rFonts w:ascii="Times New Roman" w:hAnsi="Times New Roman"/>
          <w:i/>
        </w:rPr>
        <w:t xml:space="preserve">“Wisconsin </w:t>
      </w:r>
      <w:r w:rsidR="00E90C92" w:rsidRPr="00B11489">
        <w:rPr>
          <w:rFonts w:ascii="Times New Roman" w:hAnsi="Times New Roman"/>
          <w:i/>
        </w:rPr>
        <w:t>Dairy Enterprise Budget (2008)</w:t>
      </w:r>
      <w:r w:rsidR="00B11489" w:rsidRPr="00B11489">
        <w:rPr>
          <w:rFonts w:ascii="Times New Roman" w:hAnsi="Times New Roman"/>
          <w:i/>
        </w:rPr>
        <w:t>”</w:t>
      </w:r>
      <w:r w:rsidR="00E90C92">
        <w:rPr>
          <w:rFonts w:ascii="Times New Roman" w:hAnsi="Times New Roman"/>
        </w:rPr>
        <w:t xml:space="preserve"> for the purpose of reporting a calculated COP </w:t>
      </w:r>
      <w:r w:rsidR="00916E5D">
        <w:rPr>
          <w:rFonts w:ascii="Times New Roman" w:hAnsi="Times New Roman"/>
        </w:rPr>
        <w:t xml:space="preserve">for a 200 cow herd </w:t>
      </w:r>
      <w:r w:rsidR="00E90C92">
        <w:rPr>
          <w:rFonts w:ascii="Times New Roman" w:hAnsi="Times New Roman"/>
        </w:rPr>
        <w:t xml:space="preserve">based </w:t>
      </w:r>
      <w:r w:rsidR="00A86A8A">
        <w:rPr>
          <w:rFonts w:ascii="Times New Roman" w:hAnsi="Times New Roman"/>
        </w:rPr>
        <w:t>o</w:t>
      </w:r>
      <w:r w:rsidR="00E90C92">
        <w:rPr>
          <w:rFonts w:ascii="Times New Roman" w:hAnsi="Times New Roman"/>
        </w:rPr>
        <w:t>n</w:t>
      </w:r>
      <w:r w:rsidR="00A86A8A">
        <w:rPr>
          <w:rFonts w:ascii="Times New Roman" w:hAnsi="Times New Roman"/>
        </w:rPr>
        <w:t xml:space="preserve"> </w:t>
      </w:r>
      <w:r w:rsidR="00E90C92">
        <w:rPr>
          <w:rFonts w:ascii="Times New Roman" w:hAnsi="Times New Roman"/>
        </w:rPr>
        <w:t>a Double-8 milking parlor.</w:t>
      </w:r>
      <w:r w:rsidR="005F12E8">
        <w:rPr>
          <w:rFonts w:ascii="Times New Roman" w:hAnsi="Times New Roman"/>
        </w:rPr>
        <w:t xml:space="preserve"> </w:t>
      </w:r>
      <w:r w:rsidR="00F07DAE">
        <w:rPr>
          <w:rFonts w:ascii="Times New Roman" w:hAnsi="Times New Roman"/>
        </w:rPr>
        <w:t xml:space="preserve">Fixed costs include </w:t>
      </w:r>
      <w:r w:rsidR="00EF0450">
        <w:rPr>
          <w:rFonts w:ascii="Times New Roman" w:hAnsi="Times New Roman"/>
        </w:rPr>
        <w:t>depreciation, repairs, taxes, insurance and a</w:t>
      </w:r>
      <w:r w:rsidR="00F07DAE">
        <w:rPr>
          <w:rFonts w:ascii="Times New Roman" w:hAnsi="Times New Roman"/>
        </w:rPr>
        <w:t xml:space="preserve"> return to labor and management. </w:t>
      </w:r>
      <w:r w:rsidR="005F12E8">
        <w:rPr>
          <w:rFonts w:ascii="Times New Roman" w:hAnsi="Times New Roman"/>
        </w:rPr>
        <w:t>All spreadsheet inputs may be changed to fit your</w:t>
      </w:r>
      <w:r w:rsidR="002368D9">
        <w:rPr>
          <w:rFonts w:ascii="Times New Roman" w:hAnsi="Times New Roman"/>
        </w:rPr>
        <w:t xml:space="preserve"> </w:t>
      </w:r>
      <w:r w:rsidR="005F12E8">
        <w:rPr>
          <w:rFonts w:ascii="Times New Roman" w:hAnsi="Times New Roman"/>
        </w:rPr>
        <w:t>particular herd description.</w:t>
      </w:r>
    </w:p>
    <w:p w:rsidR="008A3B5D" w:rsidRDefault="00E90C92" w:rsidP="00B8020C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All values used in the Wisconsin Calculated Milk COP are for demonstration purposes only. </w:t>
      </w:r>
      <w:r w:rsidR="008701E5" w:rsidRPr="00957C6F">
        <w:rPr>
          <w:rFonts w:ascii="Times New Roman" w:hAnsi="Times New Roman"/>
          <w:b/>
        </w:rPr>
        <w:t xml:space="preserve">Your actual prices </w:t>
      </w:r>
      <w:r w:rsidR="00B11489" w:rsidRPr="00957C6F">
        <w:rPr>
          <w:rFonts w:ascii="Times New Roman" w:hAnsi="Times New Roman"/>
          <w:b/>
        </w:rPr>
        <w:t>will</w:t>
      </w:r>
      <w:r w:rsidR="008701E5" w:rsidRPr="00957C6F">
        <w:rPr>
          <w:rFonts w:ascii="Times New Roman" w:hAnsi="Times New Roman"/>
          <w:b/>
        </w:rPr>
        <w:t xml:space="preserve"> vary</w:t>
      </w:r>
      <w:r w:rsidR="008701E5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Those using this information are advised to access the </w:t>
      </w:r>
      <w:r w:rsidR="00B11489">
        <w:rPr>
          <w:rFonts w:ascii="Times New Roman" w:hAnsi="Times New Roman"/>
        </w:rPr>
        <w:t xml:space="preserve">University </w:t>
      </w:r>
      <w:r w:rsidR="00795F2E">
        <w:rPr>
          <w:rFonts w:ascii="Times New Roman" w:hAnsi="Times New Roman"/>
        </w:rPr>
        <w:t>of</w:t>
      </w:r>
      <w:r w:rsidR="00B11489">
        <w:rPr>
          <w:rFonts w:ascii="Times New Roman" w:hAnsi="Times New Roman"/>
        </w:rPr>
        <w:t xml:space="preserve"> Wisconsin</w:t>
      </w:r>
      <w:r w:rsidR="00934D2A">
        <w:rPr>
          <w:rFonts w:ascii="Times New Roman" w:hAnsi="Times New Roman"/>
        </w:rPr>
        <w:t xml:space="preserve"> </w:t>
      </w:r>
      <w:r w:rsidR="00B11489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 xml:space="preserve">Center for Dairy Profitability website </w:t>
      </w:r>
      <w:r w:rsidR="000A3568">
        <w:rPr>
          <w:rFonts w:ascii="Times New Roman" w:hAnsi="Times New Roman"/>
        </w:rPr>
        <w:t xml:space="preserve">at </w:t>
      </w:r>
      <w:hyperlink r:id="rId8" w:history="1">
        <w:r w:rsidRPr="004C1B27">
          <w:rPr>
            <w:rStyle w:val="Hyperlink"/>
            <w:rFonts w:ascii="Times New Roman" w:hAnsi="Times New Roman"/>
          </w:rPr>
          <w:t>http://cdp.wisc.edu/Welcome.htm</w:t>
        </w:r>
      </w:hyperlink>
      <w:r>
        <w:rPr>
          <w:rFonts w:ascii="Times New Roman" w:hAnsi="Times New Roman"/>
        </w:rPr>
        <w:t xml:space="preserve"> to calculate your COP utilizing your </w:t>
      </w:r>
      <w:r w:rsidR="00544893">
        <w:rPr>
          <w:rFonts w:ascii="Times New Roman" w:hAnsi="Times New Roman"/>
        </w:rPr>
        <w:t>farm specific</w:t>
      </w:r>
      <w:r>
        <w:rPr>
          <w:rFonts w:ascii="Times New Roman" w:hAnsi="Times New Roman"/>
        </w:rPr>
        <w:t xml:space="preserve"> financial and production data as well as to </w:t>
      </w:r>
      <w:r w:rsidR="008701E5">
        <w:rPr>
          <w:rFonts w:ascii="Times New Roman" w:hAnsi="Times New Roman"/>
        </w:rPr>
        <w:t>review and use</w:t>
      </w:r>
      <w:r>
        <w:rPr>
          <w:rFonts w:ascii="Times New Roman" w:hAnsi="Times New Roman"/>
        </w:rPr>
        <w:t xml:space="preserve"> the other Decision Making Aids</w:t>
      </w:r>
      <w:r w:rsidR="006660CC">
        <w:rPr>
          <w:rFonts w:ascii="Times New Roman" w:hAnsi="Times New Roman"/>
        </w:rPr>
        <w:t>, budgets</w:t>
      </w:r>
      <w:r>
        <w:rPr>
          <w:rFonts w:ascii="Times New Roman" w:hAnsi="Times New Roman"/>
        </w:rPr>
        <w:t xml:space="preserve"> and tools available on the site.</w:t>
      </w:r>
      <w:r w:rsidR="008701E5">
        <w:rPr>
          <w:rFonts w:ascii="Times New Roman" w:hAnsi="Times New Roman"/>
        </w:rPr>
        <w:t xml:space="preserve"> </w:t>
      </w:r>
    </w:p>
    <w:p w:rsidR="00E90C92" w:rsidRDefault="008701E5" w:rsidP="006B6EFE">
      <w:pPr>
        <w:spacing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COP analysis using the “whole farm” approach will yield</w:t>
      </w:r>
      <w:r w:rsidR="00E90C9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results different from those obtained via enterprise analysis.</w:t>
      </w:r>
      <w:r w:rsidR="00B8020C">
        <w:rPr>
          <w:rFonts w:ascii="Times New Roman" w:hAnsi="Times New Roman"/>
        </w:rPr>
        <w:t xml:space="preserve"> </w:t>
      </w:r>
      <w:r w:rsidR="008A3B5D">
        <w:rPr>
          <w:rFonts w:ascii="Times New Roman" w:hAnsi="Times New Roman"/>
        </w:rPr>
        <w:t xml:space="preserve">Those who intend to utilize the results in identifying a “good price” for marketing </w:t>
      </w:r>
      <w:r w:rsidR="00934F5C">
        <w:rPr>
          <w:rFonts w:ascii="Times New Roman" w:hAnsi="Times New Roman"/>
        </w:rPr>
        <w:t>or production input</w:t>
      </w:r>
      <w:r w:rsidR="008A3B5D">
        <w:rPr>
          <w:rFonts w:ascii="Times New Roman" w:hAnsi="Times New Roman"/>
        </w:rPr>
        <w:t xml:space="preserve"> decisions may want to use the </w:t>
      </w:r>
      <w:r w:rsidR="00B602BB">
        <w:rPr>
          <w:rFonts w:ascii="Times New Roman" w:hAnsi="Times New Roman"/>
        </w:rPr>
        <w:t xml:space="preserve">(this) </w:t>
      </w:r>
      <w:r w:rsidR="008A3B5D">
        <w:rPr>
          <w:rFonts w:ascii="Times New Roman" w:hAnsi="Times New Roman"/>
        </w:rPr>
        <w:t xml:space="preserve">enterprise analysis derived price while those intending to make </w:t>
      </w:r>
      <w:r w:rsidR="00934F5C">
        <w:rPr>
          <w:rFonts w:ascii="Times New Roman" w:hAnsi="Times New Roman"/>
        </w:rPr>
        <w:t xml:space="preserve">long term </w:t>
      </w:r>
      <w:r w:rsidR="008A3B5D">
        <w:rPr>
          <w:rFonts w:ascii="Times New Roman" w:hAnsi="Times New Roman"/>
        </w:rPr>
        <w:t xml:space="preserve">production decisions </w:t>
      </w:r>
      <w:r w:rsidR="00795F2E">
        <w:rPr>
          <w:rFonts w:ascii="Times New Roman" w:hAnsi="Times New Roman"/>
        </w:rPr>
        <w:t xml:space="preserve">and for comparisons to other farms </w:t>
      </w:r>
      <w:r w:rsidR="008A3B5D">
        <w:rPr>
          <w:rFonts w:ascii="Times New Roman" w:hAnsi="Times New Roman"/>
        </w:rPr>
        <w:t xml:space="preserve">may choose the “whole farm” </w:t>
      </w:r>
      <w:r w:rsidR="005F12E8">
        <w:rPr>
          <w:rFonts w:ascii="Times New Roman" w:hAnsi="Times New Roman"/>
        </w:rPr>
        <w:t>cost per CWT EQ</w:t>
      </w:r>
      <w:r w:rsidR="00E15B09">
        <w:rPr>
          <w:rFonts w:ascii="Times New Roman" w:hAnsi="Times New Roman"/>
        </w:rPr>
        <w:t>. or</w:t>
      </w:r>
      <w:r w:rsidR="00C05432">
        <w:rPr>
          <w:rFonts w:ascii="Times New Roman" w:hAnsi="Times New Roman"/>
        </w:rPr>
        <w:t>,</w:t>
      </w:r>
      <w:r w:rsidR="00E15B09">
        <w:rPr>
          <w:rFonts w:ascii="Times New Roman" w:hAnsi="Times New Roman"/>
        </w:rPr>
        <w:t xml:space="preserve"> Per Dollar or Percent of Gross Revenue </w:t>
      </w:r>
      <w:r w:rsidR="008A3B5D">
        <w:rPr>
          <w:rFonts w:ascii="Times New Roman" w:hAnsi="Times New Roman"/>
        </w:rPr>
        <w:t>analysis</w:t>
      </w:r>
      <w:r w:rsidR="00E15B09">
        <w:rPr>
          <w:rFonts w:ascii="Times New Roman" w:hAnsi="Times New Roman"/>
        </w:rPr>
        <w:t xml:space="preserve"> methods</w:t>
      </w:r>
      <w:r w:rsidR="008A3B5D">
        <w:rPr>
          <w:rFonts w:ascii="Times New Roman" w:hAnsi="Times New Roman"/>
        </w:rPr>
        <w:t>.</w:t>
      </w:r>
    </w:p>
    <w:p w:rsidR="000127B2" w:rsidRDefault="00E90C92" w:rsidP="000001F5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4D075B" w:rsidRDefault="00A86A8A" w:rsidP="004D075B">
      <w:pPr>
        <w:spacing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A</w:t>
      </w:r>
      <w:r w:rsidR="00E90C92">
        <w:rPr>
          <w:rFonts w:ascii="Times New Roman" w:hAnsi="Times New Roman"/>
        </w:rPr>
        <w:t xml:space="preserve"> </w:t>
      </w:r>
      <w:r w:rsidR="00E4198E">
        <w:rPr>
          <w:rFonts w:ascii="Times New Roman" w:hAnsi="Times New Roman"/>
        </w:rPr>
        <w:t>$</w:t>
      </w:r>
      <w:r w:rsidR="00850D99">
        <w:rPr>
          <w:rFonts w:ascii="Times New Roman" w:hAnsi="Times New Roman"/>
        </w:rPr>
        <w:t>22</w:t>
      </w:r>
      <w:r w:rsidR="00822E72">
        <w:rPr>
          <w:rFonts w:ascii="Times New Roman" w:hAnsi="Times New Roman"/>
        </w:rPr>
        <w:t>.</w:t>
      </w:r>
      <w:r w:rsidR="003D6F7E">
        <w:rPr>
          <w:rFonts w:ascii="Times New Roman" w:hAnsi="Times New Roman"/>
        </w:rPr>
        <w:t>25</w:t>
      </w:r>
      <w:r w:rsidR="0056661C">
        <w:rPr>
          <w:rFonts w:ascii="Times New Roman" w:hAnsi="Times New Roman"/>
        </w:rPr>
        <w:t xml:space="preserve"> </w:t>
      </w:r>
      <w:r w:rsidR="00844910">
        <w:rPr>
          <w:rFonts w:ascii="Times New Roman" w:hAnsi="Times New Roman"/>
        </w:rPr>
        <w:t xml:space="preserve">expected </w:t>
      </w:r>
      <w:r w:rsidR="00886E3B">
        <w:rPr>
          <w:rFonts w:ascii="Times New Roman" w:hAnsi="Times New Roman"/>
        </w:rPr>
        <w:t>M</w:t>
      </w:r>
      <w:r w:rsidR="00E90C92">
        <w:rPr>
          <w:rFonts w:ascii="Times New Roman" w:hAnsi="Times New Roman"/>
        </w:rPr>
        <w:t xml:space="preserve">ailbox </w:t>
      </w:r>
      <w:r w:rsidR="00886E3B">
        <w:rPr>
          <w:rFonts w:ascii="Times New Roman" w:hAnsi="Times New Roman"/>
        </w:rPr>
        <w:t>P</w:t>
      </w:r>
      <w:r w:rsidR="00E90C92">
        <w:rPr>
          <w:rFonts w:ascii="Times New Roman" w:hAnsi="Times New Roman"/>
        </w:rPr>
        <w:t xml:space="preserve">rice relative to </w:t>
      </w:r>
      <w:r w:rsidR="005A4A68">
        <w:rPr>
          <w:rFonts w:ascii="Times New Roman" w:hAnsi="Times New Roman"/>
        </w:rPr>
        <w:t xml:space="preserve">a 22,000 lb. milk average marketed per cow </w:t>
      </w:r>
      <w:r w:rsidR="0070635C">
        <w:rPr>
          <w:rFonts w:ascii="Times New Roman" w:hAnsi="Times New Roman"/>
        </w:rPr>
        <w:t xml:space="preserve">and </w:t>
      </w:r>
      <w:r w:rsidR="0056661C">
        <w:rPr>
          <w:rFonts w:ascii="Times New Roman" w:hAnsi="Times New Roman"/>
        </w:rPr>
        <w:t>current</w:t>
      </w:r>
      <w:r w:rsidR="00390A5E">
        <w:rPr>
          <w:rFonts w:ascii="Times New Roman" w:hAnsi="Times New Roman"/>
        </w:rPr>
        <w:t xml:space="preserve"> cost</w:t>
      </w:r>
      <w:r w:rsidR="00E90C92">
        <w:rPr>
          <w:rFonts w:ascii="Times New Roman" w:hAnsi="Times New Roman"/>
        </w:rPr>
        <w:t xml:space="preserve">s </w:t>
      </w:r>
      <w:r w:rsidR="003D6F7E">
        <w:rPr>
          <w:rFonts w:ascii="Times New Roman" w:hAnsi="Times New Roman"/>
        </w:rPr>
        <w:t>allocates a total of 17,020</w:t>
      </w:r>
      <w:r w:rsidR="0070635C">
        <w:rPr>
          <w:rFonts w:ascii="Times New Roman" w:hAnsi="Times New Roman"/>
        </w:rPr>
        <w:t xml:space="preserve"> </w:t>
      </w:r>
      <w:r w:rsidR="00D37AE7">
        <w:rPr>
          <w:rFonts w:ascii="Times New Roman" w:hAnsi="Times New Roman"/>
        </w:rPr>
        <w:t>lbs/cow/year</w:t>
      </w:r>
      <w:r w:rsidR="005502D0">
        <w:rPr>
          <w:rFonts w:ascii="Times New Roman" w:hAnsi="Times New Roman"/>
        </w:rPr>
        <w:t xml:space="preserve"> </w:t>
      </w:r>
      <w:r w:rsidR="00A47842">
        <w:rPr>
          <w:rFonts w:ascii="Times New Roman" w:hAnsi="Times New Roman"/>
        </w:rPr>
        <w:t xml:space="preserve">of 3.5% BF milk </w:t>
      </w:r>
      <w:r w:rsidR="00390A5E">
        <w:rPr>
          <w:rFonts w:ascii="Times New Roman" w:hAnsi="Times New Roman"/>
        </w:rPr>
        <w:t>to pay for all expenses</w:t>
      </w:r>
      <w:r w:rsidR="0070635C">
        <w:rPr>
          <w:rFonts w:ascii="Times New Roman" w:hAnsi="Times New Roman"/>
        </w:rPr>
        <w:t xml:space="preserve"> including </w:t>
      </w:r>
      <w:r w:rsidR="005F12E8">
        <w:rPr>
          <w:rFonts w:ascii="Times New Roman" w:hAnsi="Times New Roman"/>
        </w:rPr>
        <w:t xml:space="preserve"> feed, </w:t>
      </w:r>
      <w:r w:rsidR="002368D9">
        <w:rPr>
          <w:rFonts w:ascii="Times New Roman" w:hAnsi="Times New Roman"/>
        </w:rPr>
        <w:t xml:space="preserve">other </w:t>
      </w:r>
      <w:r w:rsidR="005F12E8">
        <w:rPr>
          <w:rFonts w:ascii="Times New Roman" w:hAnsi="Times New Roman"/>
        </w:rPr>
        <w:t>variable and fixed costs</w:t>
      </w:r>
      <w:r w:rsidR="00464392">
        <w:rPr>
          <w:rFonts w:ascii="Times New Roman" w:hAnsi="Times New Roman"/>
        </w:rPr>
        <w:t>,</w:t>
      </w:r>
      <w:r w:rsidR="00390A5E">
        <w:rPr>
          <w:rFonts w:ascii="Times New Roman" w:hAnsi="Times New Roman"/>
        </w:rPr>
        <w:t xml:space="preserve"> including</w:t>
      </w:r>
      <w:r w:rsidR="00464392">
        <w:rPr>
          <w:rFonts w:ascii="Times New Roman" w:hAnsi="Times New Roman"/>
        </w:rPr>
        <w:t xml:space="preserve"> a full return to labor and management</w:t>
      </w:r>
      <w:r w:rsidR="00E90C92">
        <w:rPr>
          <w:rFonts w:ascii="Times New Roman" w:hAnsi="Times New Roman"/>
        </w:rPr>
        <w:t xml:space="preserve">. </w:t>
      </w:r>
      <w:r w:rsidR="0070635C">
        <w:rPr>
          <w:rFonts w:ascii="Times New Roman" w:hAnsi="Times New Roman"/>
        </w:rPr>
        <w:t xml:space="preserve">Total production required to cover </w:t>
      </w:r>
      <w:r w:rsidR="004C669E">
        <w:rPr>
          <w:rFonts w:ascii="Times New Roman" w:hAnsi="Times New Roman"/>
        </w:rPr>
        <w:t xml:space="preserve">all </w:t>
      </w:r>
      <w:r w:rsidR="0070635C">
        <w:rPr>
          <w:rFonts w:ascii="Times New Roman" w:hAnsi="Times New Roman"/>
        </w:rPr>
        <w:t xml:space="preserve">variable costs at </w:t>
      </w:r>
      <w:r w:rsidR="002E3DAA">
        <w:rPr>
          <w:rFonts w:ascii="Times New Roman" w:hAnsi="Times New Roman"/>
        </w:rPr>
        <w:t>22,000 lb herd average is 1</w:t>
      </w:r>
      <w:r w:rsidR="003D6F7E">
        <w:rPr>
          <w:rFonts w:ascii="Times New Roman" w:hAnsi="Times New Roman"/>
        </w:rPr>
        <w:t>1,700</w:t>
      </w:r>
      <w:r w:rsidR="0070635C">
        <w:rPr>
          <w:rFonts w:ascii="Times New Roman" w:hAnsi="Times New Roman"/>
        </w:rPr>
        <w:t xml:space="preserve"> lbs</w:t>
      </w:r>
      <w:r w:rsidR="00E371E4">
        <w:rPr>
          <w:rFonts w:ascii="Times New Roman" w:hAnsi="Times New Roman"/>
        </w:rPr>
        <w:t>;</w:t>
      </w:r>
      <w:r w:rsidR="004C669E">
        <w:rPr>
          <w:rFonts w:ascii="Times New Roman" w:hAnsi="Times New Roman"/>
        </w:rPr>
        <w:t xml:space="preserve"> </w:t>
      </w:r>
      <w:r w:rsidR="003D6F7E">
        <w:rPr>
          <w:rFonts w:ascii="Times New Roman" w:hAnsi="Times New Roman"/>
        </w:rPr>
        <w:t>9,579</w:t>
      </w:r>
      <w:r w:rsidR="00D81DA3">
        <w:rPr>
          <w:rFonts w:ascii="Times New Roman" w:hAnsi="Times New Roman"/>
        </w:rPr>
        <w:t xml:space="preserve"> </w:t>
      </w:r>
      <w:r w:rsidR="0070635C">
        <w:rPr>
          <w:rFonts w:ascii="Times New Roman" w:hAnsi="Times New Roman"/>
        </w:rPr>
        <w:t xml:space="preserve">lbs </w:t>
      </w:r>
      <w:r w:rsidR="004C669E">
        <w:rPr>
          <w:rFonts w:ascii="Times New Roman" w:hAnsi="Times New Roman"/>
        </w:rPr>
        <w:t xml:space="preserve">of which is </w:t>
      </w:r>
      <w:r w:rsidR="0070635C">
        <w:rPr>
          <w:rFonts w:ascii="Times New Roman" w:hAnsi="Times New Roman"/>
        </w:rPr>
        <w:t xml:space="preserve">to pay for feed. </w:t>
      </w:r>
      <w:r w:rsidR="00EE2F87">
        <w:rPr>
          <w:rFonts w:ascii="Times New Roman" w:hAnsi="Times New Roman"/>
        </w:rPr>
        <w:t xml:space="preserve">No </w:t>
      </w:r>
      <w:r w:rsidR="00770F9B">
        <w:rPr>
          <w:rFonts w:ascii="Times New Roman" w:hAnsi="Times New Roman"/>
        </w:rPr>
        <w:t>MILC</w:t>
      </w:r>
      <w:r w:rsidR="00B602BB">
        <w:rPr>
          <w:rFonts w:ascii="Times New Roman" w:hAnsi="Times New Roman"/>
        </w:rPr>
        <w:t xml:space="preserve"> payment </w:t>
      </w:r>
      <w:r w:rsidR="00BB5585">
        <w:rPr>
          <w:rFonts w:ascii="Times New Roman" w:hAnsi="Times New Roman"/>
        </w:rPr>
        <w:t>is expected for</w:t>
      </w:r>
      <w:r w:rsidR="00425B18">
        <w:rPr>
          <w:rFonts w:ascii="Times New Roman" w:hAnsi="Times New Roman"/>
        </w:rPr>
        <w:t xml:space="preserve"> </w:t>
      </w:r>
      <w:r w:rsidR="003D6F7E">
        <w:rPr>
          <w:rFonts w:ascii="Times New Roman" w:hAnsi="Times New Roman"/>
          <w:b/>
        </w:rPr>
        <w:t>Novemb</w:t>
      </w:r>
      <w:r w:rsidR="00EE2F87">
        <w:rPr>
          <w:rFonts w:ascii="Times New Roman" w:hAnsi="Times New Roman"/>
          <w:b/>
        </w:rPr>
        <w:t>er</w:t>
      </w:r>
      <w:r w:rsidR="00775E3B" w:rsidRPr="001E1B96">
        <w:rPr>
          <w:rFonts w:ascii="Times New Roman" w:hAnsi="Times New Roman"/>
          <w:b/>
        </w:rPr>
        <w:t>.</w:t>
      </w:r>
      <w:r w:rsidR="00544893">
        <w:rPr>
          <w:rFonts w:ascii="Times New Roman" w:hAnsi="Times New Roman"/>
        </w:rPr>
        <w:t xml:space="preserve"> </w:t>
      </w:r>
      <w:r w:rsidR="00670EE9">
        <w:rPr>
          <w:rFonts w:ascii="Times New Roman" w:hAnsi="Times New Roman"/>
        </w:rPr>
        <w:t>Because of wide variability in fixed costs</w:t>
      </w:r>
      <w:r w:rsidR="00526D9F">
        <w:rPr>
          <w:rFonts w:ascii="Times New Roman" w:hAnsi="Times New Roman"/>
        </w:rPr>
        <w:t>,</w:t>
      </w:r>
      <w:r w:rsidR="00670EE9">
        <w:rPr>
          <w:rFonts w:ascii="Times New Roman" w:hAnsi="Times New Roman"/>
        </w:rPr>
        <w:t xml:space="preserve"> labor and management charges from farm to farm</w:t>
      </w:r>
      <w:r w:rsidR="00357F35">
        <w:rPr>
          <w:rFonts w:ascii="Times New Roman" w:hAnsi="Times New Roman"/>
        </w:rPr>
        <w:t xml:space="preserve"> and to present a size-neutral perspective</w:t>
      </w:r>
      <w:r w:rsidR="00670EE9">
        <w:rPr>
          <w:rFonts w:ascii="Times New Roman" w:hAnsi="Times New Roman"/>
        </w:rPr>
        <w:t xml:space="preserve">, </w:t>
      </w:r>
      <w:r w:rsidR="00670EE9" w:rsidRPr="00A47842">
        <w:rPr>
          <w:rFonts w:ascii="Times New Roman" w:hAnsi="Times New Roman"/>
          <w:i/>
        </w:rPr>
        <w:t xml:space="preserve">a detailed reporting of </w:t>
      </w:r>
      <w:r w:rsidR="00F833AA" w:rsidRPr="00F833AA">
        <w:rPr>
          <w:rFonts w:ascii="Times New Roman" w:hAnsi="Times New Roman"/>
          <w:i/>
          <w:u w:val="single"/>
        </w:rPr>
        <w:t>Incomes</w:t>
      </w:r>
      <w:r w:rsidR="00670EE9" w:rsidRPr="0060480F">
        <w:rPr>
          <w:rFonts w:ascii="Times New Roman" w:hAnsi="Times New Roman"/>
          <w:i/>
          <w:u w:val="single"/>
        </w:rPr>
        <w:t xml:space="preserve"> </w:t>
      </w:r>
      <w:r w:rsidR="00D05661" w:rsidRPr="0060480F">
        <w:rPr>
          <w:rFonts w:ascii="Times New Roman" w:hAnsi="Times New Roman"/>
          <w:i/>
          <w:u w:val="single"/>
        </w:rPr>
        <w:t>O</w:t>
      </w:r>
      <w:r w:rsidR="00670EE9" w:rsidRPr="0060480F">
        <w:rPr>
          <w:rFonts w:ascii="Times New Roman" w:hAnsi="Times New Roman"/>
          <w:i/>
          <w:u w:val="single"/>
        </w:rPr>
        <w:t xml:space="preserve">ver </w:t>
      </w:r>
      <w:r w:rsidR="005F12E8" w:rsidRPr="0060480F">
        <w:rPr>
          <w:rFonts w:ascii="Times New Roman" w:hAnsi="Times New Roman"/>
          <w:i/>
          <w:u w:val="single"/>
        </w:rPr>
        <w:t>F</w:t>
      </w:r>
      <w:r w:rsidR="00670EE9" w:rsidRPr="0060480F">
        <w:rPr>
          <w:rFonts w:ascii="Times New Roman" w:hAnsi="Times New Roman"/>
          <w:i/>
          <w:u w:val="single"/>
        </w:rPr>
        <w:t>eed</w:t>
      </w:r>
      <w:r w:rsidR="00670EE9" w:rsidRPr="00A47842">
        <w:rPr>
          <w:rFonts w:ascii="Times New Roman" w:hAnsi="Times New Roman"/>
          <w:i/>
        </w:rPr>
        <w:t xml:space="preserve"> and </w:t>
      </w:r>
      <w:r w:rsidR="00670EE9" w:rsidRPr="0060480F">
        <w:rPr>
          <w:rFonts w:ascii="Times New Roman" w:hAnsi="Times New Roman"/>
          <w:i/>
          <w:u w:val="single"/>
        </w:rPr>
        <w:t>Variable Costs</w:t>
      </w:r>
      <w:r w:rsidR="005F12E8" w:rsidRPr="00A47842">
        <w:rPr>
          <w:rFonts w:ascii="Times New Roman" w:hAnsi="Times New Roman"/>
          <w:i/>
        </w:rPr>
        <w:t xml:space="preserve"> per CWT</w:t>
      </w:r>
      <w:r w:rsidR="00670EE9" w:rsidRPr="00A47842">
        <w:rPr>
          <w:rFonts w:ascii="Times New Roman" w:hAnsi="Times New Roman"/>
          <w:i/>
        </w:rPr>
        <w:t xml:space="preserve"> is offered </w:t>
      </w:r>
      <w:r w:rsidR="00D37BF0" w:rsidRPr="00A47842">
        <w:rPr>
          <w:rFonts w:ascii="Times New Roman" w:hAnsi="Times New Roman"/>
          <w:i/>
        </w:rPr>
        <w:t xml:space="preserve">in the table below </w:t>
      </w:r>
      <w:r w:rsidR="00670EE9">
        <w:rPr>
          <w:rFonts w:ascii="Times New Roman" w:hAnsi="Times New Roman"/>
        </w:rPr>
        <w:t xml:space="preserve">instead of </w:t>
      </w:r>
      <w:r w:rsidR="00886E3B">
        <w:rPr>
          <w:rFonts w:ascii="Times New Roman" w:hAnsi="Times New Roman"/>
        </w:rPr>
        <w:t>expected revenue per cow</w:t>
      </w:r>
      <w:r w:rsidR="00670EE9">
        <w:rPr>
          <w:rFonts w:ascii="Times New Roman" w:hAnsi="Times New Roman"/>
        </w:rPr>
        <w:t xml:space="preserve"> and Net Return</w:t>
      </w:r>
      <w:r w:rsidR="00357F35">
        <w:rPr>
          <w:rFonts w:ascii="Times New Roman" w:hAnsi="Times New Roman"/>
        </w:rPr>
        <w:t>.</w:t>
      </w:r>
    </w:p>
    <w:p w:rsidR="006A7086" w:rsidRDefault="005A138F" w:rsidP="00F444B5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IOFC </w:t>
      </w:r>
      <w:r w:rsidR="00AD4B84">
        <w:rPr>
          <w:rFonts w:ascii="Times New Roman" w:hAnsi="Times New Roman"/>
        </w:rPr>
        <w:t xml:space="preserve">at the 22,000 production level </w:t>
      </w:r>
      <w:r w:rsidR="003D6F7E">
        <w:rPr>
          <w:rFonts w:ascii="Times New Roman" w:hAnsi="Times New Roman"/>
        </w:rPr>
        <w:t>dropped slightly</w:t>
      </w:r>
      <w:r>
        <w:rPr>
          <w:rFonts w:ascii="Times New Roman" w:hAnsi="Times New Roman"/>
        </w:rPr>
        <w:t xml:space="preserve"> this month</w:t>
      </w:r>
      <w:r w:rsidR="009225C7">
        <w:rPr>
          <w:rFonts w:ascii="Times New Roman" w:hAnsi="Times New Roman"/>
        </w:rPr>
        <w:t xml:space="preserve"> by</w:t>
      </w:r>
      <w:r w:rsidR="00035A45" w:rsidRPr="00035A45">
        <w:rPr>
          <w:rFonts w:ascii="Times New Roman" w:hAnsi="Times New Roman"/>
        </w:rPr>
        <w:t xml:space="preserve"> $</w:t>
      </w:r>
      <w:r w:rsidR="003D6F7E">
        <w:rPr>
          <w:rFonts w:ascii="Times New Roman" w:hAnsi="Times New Roman"/>
        </w:rPr>
        <w:t>0</w:t>
      </w:r>
      <w:r w:rsidR="00035A45" w:rsidRPr="00035A45">
        <w:rPr>
          <w:rFonts w:ascii="Times New Roman" w:hAnsi="Times New Roman"/>
        </w:rPr>
        <w:t>.</w:t>
      </w:r>
      <w:r w:rsidR="003D6F7E">
        <w:rPr>
          <w:rFonts w:ascii="Times New Roman" w:hAnsi="Times New Roman"/>
        </w:rPr>
        <w:t>03</w:t>
      </w:r>
      <w:r w:rsidR="00850D99">
        <w:rPr>
          <w:rFonts w:ascii="Times New Roman" w:hAnsi="Times New Roman"/>
        </w:rPr>
        <w:t>/cwt to $12</w:t>
      </w:r>
      <w:r w:rsidR="00035A45" w:rsidRPr="00035A45">
        <w:rPr>
          <w:rFonts w:ascii="Times New Roman" w:hAnsi="Times New Roman"/>
        </w:rPr>
        <w:t>.</w:t>
      </w:r>
      <w:r w:rsidR="003D6F7E">
        <w:rPr>
          <w:rFonts w:ascii="Times New Roman" w:hAnsi="Times New Roman"/>
        </w:rPr>
        <w:t>56</w:t>
      </w:r>
      <w:r>
        <w:rPr>
          <w:rFonts w:ascii="Times New Roman" w:hAnsi="Times New Roman"/>
        </w:rPr>
        <w:t>.</w:t>
      </w:r>
      <w:r w:rsidR="006B2728">
        <w:rPr>
          <w:rFonts w:ascii="Times New Roman" w:hAnsi="Times New Roman"/>
        </w:rPr>
        <w:t xml:space="preserve"> H</w:t>
      </w:r>
      <w:r w:rsidR="00D976B8">
        <w:rPr>
          <w:rFonts w:ascii="Times New Roman" w:hAnsi="Times New Roman"/>
        </w:rPr>
        <w:t>erds marketing</w:t>
      </w:r>
      <w:r w:rsidR="00AD4B84">
        <w:rPr>
          <w:rFonts w:ascii="Times New Roman" w:hAnsi="Times New Roman"/>
        </w:rPr>
        <w:t xml:space="preserve"> </w:t>
      </w:r>
      <w:r w:rsidR="006B2728">
        <w:rPr>
          <w:rFonts w:ascii="Times New Roman" w:hAnsi="Times New Roman"/>
        </w:rPr>
        <w:t xml:space="preserve">at or above </w:t>
      </w:r>
      <w:r w:rsidR="00AD4B84">
        <w:rPr>
          <w:rFonts w:ascii="Times New Roman" w:hAnsi="Times New Roman"/>
        </w:rPr>
        <w:t>28,000 l</w:t>
      </w:r>
      <w:r w:rsidR="006B2728">
        <w:rPr>
          <w:rFonts w:ascii="Times New Roman" w:hAnsi="Times New Roman"/>
        </w:rPr>
        <w:t>bs</w:t>
      </w:r>
      <w:r w:rsidR="00AD4B84">
        <w:rPr>
          <w:rFonts w:ascii="Times New Roman" w:hAnsi="Times New Roman"/>
        </w:rPr>
        <w:t xml:space="preserve"> </w:t>
      </w:r>
      <w:r w:rsidR="006B2728">
        <w:rPr>
          <w:rFonts w:ascii="Times New Roman" w:hAnsi="Times New Roman"/>
        </w:rPr>
        <w:t xml:space="preserve">of </w:t>
      </w:r>
      <w:r w:rsidR="00AD4B84">
        <w:rPr>
          <w:rFonts w:ascii="Times New Roman" w:hAnsi="Times New Roman"/>
        </w:rPr>
        <w:t>milk/</w:t>
      </w:r>
      <w:r w:rsidR="0020748B">
        <w:rPr>
          <w:rFonts w:ascii="Times New Roman" w:hAnsi="Times New Roman"/>
        </w:rPr>
        <w:t>cow/year</w:t>
      </w:r>
      <w:r w:rsidR="006B2728">
        <w:rPr>
          <w:rFonts w:ascii="Times New Roman" w:hAnsi="Times New Roman"/>
        </w:rPr>
        <w:t xml:space="preserve"> saw IOFC increase</w:t>
      </w:r>
      <w:r w:rsidR="00AD4B84">
        <w:rPr>
          <w:rFonts w:ascii="Times New Roman" w:hAnsi="Times New Roman"/>
        </w:rPr>
        <w:t xml:space="preserve"> one penny</w:t>
      </w:r>
      <w:r w:rsidR="006B2728">
        <w:rPr>
          <w:rFonts w:ascii="Times New Roman" w:hAnsi="Times New Roman"/>
        </w:rPr>
        <w:t xml:space="preserve"> over October</w:t>
      </w:r>
      <w:r w:rsidR="00AD4B84">
        <w:rPr>
          <w:rFonts w:ascii="Times New Roman" w:hAnsi="Times New Roman"/>
        </w:rPr>
        <w:t xml:space="preserve">. </w:t>
      </w:r>
      <w:r w:rsidR="00AE3CEF">
        <w:rPr>
          <w:rFonts w:ascii="Times New Roman" w:hAnsi="Times New Roman"/>
        </w:rPr>
        <w:t xml:space="preserve">Milk </w:t>
      </w:r>
      <w:r w:rsidR="00D81DA3">
        <w:rPr>
          <w:rFonts w:ascii="Times New Roman" w:hAnsi="Times New Roman"/>
        </w:rPr>
        <w:t>price</w:t>
      </w:r>
      <w:r w:rsidR="003D6F7E">
        <w:rPr>
          <w:rFonts w:ascii="Times New Roman" w:hAnsi="Times New Roman"/>
        </w:rPr>
        <w:t xml:space="preserve"> declined </w:t>
      </w:r>
      <w:r w:rsidR="00850D99">
        <w:rPr>
          <w:rFonts w:ascii="Times New Roman" w:hAnsi="Times New Roman"/>
        </w:rPr>
        <w:t>$</w:t>
      </w:r>
      <w:r w:rsidR="003D6F7E">
        <w:rPr>
          <w:rFonts w:ascii="Times New Roman" w:hAnsi="Times New Roman"/>
        </w:rPr>
        <w:t>0</w:t>
      </w:r>
      <w:r w:rsidR="00D81DA3">
        <w:rPr>
          <w:rFonts w:ascii="Times New Roman" w:hAnsi="Times New Roman"/>
        </w:rPr>
        <w:t>.</w:t>
      </w:r>
      <w:r w:rsidR="003D6F7E">
        <w:rPr>
          <w:rFonts w:ascii="Times New Roman" w:hAnsi="Times New Roman"/>
        </w:rPr>
        <w:t>15</w:t>
      </w:r>
      <w:r w:rsidR="00FE219C">
        <w:rPr>
          <w:rFonts w:ascii="Times New Roman" w:hAnsi="Times New Roman"/>
        </w:rPr>
        <w:t>/cwt</w:t>
      </w:r>
      <w:r w:rsidR="003D6F7E">
        <w:rPr>
          <w:rFonts w:ascii="Times New Roman" w:hAnsi="Times New Roman"/>
        </w:rPr>
        <w:t>.</w:t>
      </w:r>
      <w:r w:rsidR="00F95940">
        <w:rPr>
          <w:rFonts w:ascii="Times New Roman" w:hAnsi="Times New Roman"/>
        </w:rPr>
        <w:t xml:space="preserve"> </w:t>
      </w:r>
      <w:r w:rsidR="00850D99">
        <w:rPr>
          <w:rFonts w:ascii="Times New Roman" w:hAnsi="Times New Roman"/>
        </w:rPr>
        <w:t xml:space="preserve">Prices for corn and SBOM </w:t>
      </w:r>
      <w:r w:rsidR="000F6FA7">
        <w:rPr>
          <w:rFonts w:ascii="Times New Roman" w:hAnsi="Times New Roman"/>
        </w:rPr>
        <w:t xml:space="preserve">also </w:t>
      </w:r>
      <w:r w:rsidR="00850D99">
        <w:rPr>
          <w:rFonts w:ascii="Times New Roman" w:hAnsi="Times New Roman"/>
        </w:rPr>
        <w:t>d</w:t>
      </w:r>
      <w:r w:rsidR="004A1852">
        <w:rPr>
          <w:rFonts w:ascii="Times New Roman" w:hAnsi="Times New Roman"/>
        </w:rPr>
        <w:t>e</w:t>
      </w:r>
      <w:r w:rsidR="00850D99">
        <w:rPr>
          <w:rFonts w:ascii="Times New Roman" w:hAnsi="Times New Roman"/>
        </w:rPr>
        <w:t>clined</w:t>
      </w:r>
      <w:r w:rsidR="003D6F7E">
        <w:rPr>
          <w:rFonts w:ascii="Times New Roman" w:hAnsi="Times New Roman"/>
        </w:rPr>
        <w:t xml:space="preserve"> while forages increased</w:t>
      </w:r>
      <w:r w:rsidR="00035A45" w:rsidRPr="00035A45">
        <w:rPr>
          <w:rFonts w:ascii="Times New Roman" w:hAnsi="Times New Roman"/>
        </w:rPr>
        <w:t xml:space="preserve">. </w:t>
      </w:r>
      <w:r w:rsidR="000D5330">
        <w:rPr>
          <w:rFonts w:ascii="Times New Roman" w:hAnsi="Times New Roman"/>
        </w:rPr>
        <w:t>Total ration f</w:t>
      </w:r>
      <w:r w:rsidR="00035A45" w:rsidRPr="00035A45">
        <w:rPr>
          <w:rFonts w:ascii="Times New Roman" w:hAnsi="Times New Roman"/>
        </w:rPr>
        <w:t>orage pr</w:t>
      </w:r>
      <w:r w:rsidR="003D6F7E">
        <w:rPr>
          <w:rFonts w:ascii="Times New Roman" w:hAnsi="Times New Roman"/>
        </w:rPr>
        <w:t>ice increased to $116.50</w:t>
      </w:r>
      <w:r w:rsidR="00035A45" w:rsidRPr="00035A45">
        <w:rPr>
          <w:rFonts w:ascii="Times New Roman" w:hAnsi="Times New Roman"/>
        </w:rPr>
        <w:t xml:space="preserve">/blended ton of corn silage/hay </w:t>
      </w:r>
      <w:r w:rsidR="00035A45">
        <w:rPr>
          <w:rFonts w:ascii="Times New Roman" w:hAnsi="Times New Roman"/>
        </w:rPr>
        <w:t xml:space="preserve">(as fed) </w:t>
      </w:r>
      <w:r w:rsidR="003D6F7E">
        <w:rPr>
          <w:rFonts w:ascii="Times New Roman" w:hAnsi="Times New Roman"/>
        </w:rPr>
        <w:t>from $113.33</w:t>
      </w:r>
      <w:r w:rsidR="00035A45" w:rsidRPr="00035A45">
        <w:rPr>
          <w:rFonts w:ascii="Times New Roman" w:hAnsi="Times New Roman"/>
        </w:rPr>
        <w:t xml:space="preserve"> in</w:t>
      </w:r>
      <w:r w:rsidR="003D6F7E">
        <w:rPr>
          <w:rFonts w:ascii="Times New Roman" w:hAnsi="Times New Roman"/>
        </w:rPr>
        <w:t xml:space="preserve"> Octo</w:t>
      </w:r>
      <w:r w:rsidR="004A1852">
        <w:rPr>
          <w:rFonts w:ascii="Times New Roman" w:hAnsi="Times New Roman"/>
        </w:rPr>
        <w:t>ber</w:t>
      </w:r>
      <w:r w:rsidR="00035A45" w:rsidRPr="00035A45">
        <w:rPr>
          <w:rFonts w:ascii="Times New Roman" w:hAnsi="Times New Roman"/>
        </w:rPr>
        <w:t xml:space="preserve">. </w:t>
      </w:r>
      <w:r w:rsidR="007A1D82">
        <w:rPr>
          <w:rFonts w:ascii="Times New Roman" w:hAnsi="Times New Roman"/>
        </w:rPr>
        <w:t xml:space="preserve">Feed cost </w:t>
      </w:r>
      <w:r w:rsidR="005549A3">
        <w:rPr>
          <w:rFonts w:ascii="Times New Roman" w:hAnsi="Times New Roman"/>
        </w:rPr>
        <w:t>per</w:t>
      </w:r>
      <w:r w:rsidR="00CE1211">
        <w:rPr>
          <w:rFonts w:ascii="Times New Roman" w:hAnsi="Times New Roman"/>
        </w:rPr>
        <w:t xml:space="preserve"> dollar</w:t>
      </w:r>
      <w:r w:rsidR="005549A3">
        <w:rPr>
          <w:rFonts w:ascii="Times New Roman" w:hAnsi="Times New Roman"/>
        </w:rPr>
        <w:t xml:space="preserve"> of milk revenue </w:t>
      </w:r>
      <w:r w:rsidR="003D6F7E">
        <w:rPr>
          <w:rFonts w:ascii="Times New Roman" w:hAnsi="Times New Roman"/>
        </w:rPr>
        <w:t>remained steady at</w:t>
      </w:r>
      <w:r w:rsidR="004A1852">
        <w:rPr>
          <w:rFonts w:ascii="Times New Roman" w:hAnsi="Times New Roman"/>
        </w:rPr>
        <w:t xml:space="preserve"> $0.44</w:t>
      </w:r>
      <w:r w:rsidR="005549A3">
        <w:rPr>
          <w:rFonts w:ascii="Times New Roman" w:hAnsi="Times New Roman"/>
        </w:rPr>
        <w:t xml:space="preserve">. </w:t>
      </w:r>
      <w:r w:rsidR="00533D56">
        <w:rPr>
          <w:rFonts w:ascii="Times New Roman" w:hAnsi="Times New Roman"/>
        </w:rPr>
        <w:t>Income from the sale of</w:t>
      </w:r>
      <w:r w:rsidR="00F95940">
        <w:rPr>
          <w:rFonts w:ascii="Times New Roman" w:hAnsi="Times New Roman"/>
        </w:rPr>
        <w:t xml:space="preserve"> </w:t>
      </w:r>
      <w:r w:rsidR="005E0ADC">
        <w:rPr>
          <w:rFonts w:ascii="Times New Roman" w:hAnsi="Times New Roman"/>
        </w:rPr>
        <w:t xml:space="preserve">a </w:t>
      </w:r>
      <w:r w:rsidR="00F95940">
        <w:rPr>
          <w:rFonts w:ascii="Times New Roman" w:hAnsi="Times New Roman"/>
        </w:rPr>
        <w:t xml:space="preserve">typical </w:t>
      </w:r>
      <w:r w:rsidR="006D575C">
        <w:rPr>
          <w:rFonts w:ascii="Times New Roman" w:hAnsi="Times New Roman"/>
        </w:rPr>
        <w:t>1</w:t>
      </w:r>
      <w:r w:rsidR="00B851D2">
        <w:rPr>
          <w:rFonts w:ascii="Times New Roman" w:hAnsi="Times New Roman"/>
        </w:rPr>
        <w:t>,</w:t>
      </w:r>
      <w:r w:rsidR="00F95940">
        <w:rPr>
          <w:rFonts w:ascii="Times New Roman" w:hAnsi="Times New Roman"/>
        </w:rPr>
        <w:t>3</w:t>
      </w:r>
      <w:r w:rsidR="002D618B">
        <w:rPr>
          <w:rFonts w:ascii="Times New Roman" w:hAnsi="Times New Roman"/>
        </w:rPr>
        <w:t>0</w:t>
      </w:r>
      <w:r w:rsidR="00F95940">
        <w:rPr>
          <w:rFonts w:ascii="Times New Roman" w:hAnsi="Times New Roman"/>
        </w:rPr>
        <w:t xml:space="preserve">0 lb cull </w:t>
      </w:r>
      <w:r w:rsidR="002D618B">
        <w:rPr>
          <w:rFonts w:ascii="Times New Roman" w:hAnsi="Times New Roman"/>
        </w:rPr>
        <w:t xml:space="preserve">cow </w:t>
      </w:r>
      <w:r w:rsidR="003D6F7E">
        <w:rPr>
          <w:rFonts w:ascii="Times New Roman" w:hAnsi="Times New Roman"/>
        </w:rPr>
        <w:t>fell</w:t>
      </w:r>
      <w:r w:rsidR="00533D56">
        <w:rPr>
          <w:rFonts w:ascii="Times New Roman" w:hAnsi="Times New Roman"/>
        </w:rPr>
        <w:t xml:space="preserve"> $</w:t>
      </w:r>
      <w:r w:rsidR="003D6F7E">
        <w:rPr>
          <w:rFonts w:ascii="Times New Roman" w:hAnsi="Times New Roman"/>
        </w:rPr>
        <w:t>152</w:t>
      </w:r>
      <w:r w:rsidR="004A1852">
        <w:rPr>
          <w:rFonts w:ascii="Times New Roman" w:hAnsi="Times New Roman"/>
        </w:rPr>
        <w:t>.</w:t>
      </w:r>
      <w:r w:rsidR="003D6F7E">
        <w:rPr>
          <w:rFonts w:ascii="Times New Roman" w:hAnsi="Times New Roman"/>
        </w:rPr>
        <w:t>7</w:t>
      </w:r>
      <w:r w:rsidR="004A1852">
        <w:rPr>
          <w:rFonts w:ascii="Times New Roman" w:hAnsi="Times New Roman"/>
        </w:rPr>
        <w:t>5</w:t>
      </w:r>
      <w:r w:rsidR="003D6F7E">
        <w:rPr>
          <w:rFonts w:ascii="Times New Roman" w:hAnsi="Times New Roman"/>
        </w:rPr>
        <w:t>/head to $640.25</w:t>
      </w:r>
      <w:r w:rsidR="00F95940">
        <w:rPr>
          <w:rFonts w:ascii="Times New Roman" w:hAnsi="Times New Roman"/>
        </w:rPr>
        <w:t xml:space="preserve"> with prices paid for replacement</w:t>
      </w:r>
      <w:r w:rsidR="00533D56">
        <w:rPr>
          <w:rFonts w:ascii="Times New Roman" w:hAnsi="Times New Roman"/>
        </w:rPr>
        <w:t xml:space="preserve"> springers</w:t>
      </w:r>
      <w:r w:rsidR="004A1852">
        <w:rPr>
          <w:rFonts w:ascii="Times New Roman" w:hAnsi="Times New Roman"/>
        </w:rPr>
        <w:t xml:space="preserve"> </w:t>
      </w:r>
      <w:r w:rsidR="00533D56">
        <w:rPr>
          <w:rFonts w:ascii="Times New Roman" w:hAnsi="Times New Roman"/>
        </w:rPr>
        <w:t>and</w:t>
      </w:r>
      <w:r w:rsidR="00EE2F87">
        <w:rPr>
          <w:rFonts w:ascii="Times New Roman" w:hAnsi="Times New Roman"/>
        </w:rPr>
        <w:t xml:space="preserve"> the income</w:t>
      </w:r>
      <w:r w:rsidR="00F95940">
        <w:rPr>
          <w:rFonts w:ascii="Times New Roman" w:hAnsi="Times New Roman"/>
        </w:rPr>
        <w:t xml:space="preserve"> received from sel</w:t>
      </w:r>
      <w:r w:rsidR="004A1852">
        <w:rPr>
          <w:rFonts w:ascii="Times New Roman" w:hAnsi="Times New Roman"/>
        </w:rPr>
        <w:t>ling a heifer calf</w:t>
      </w:r>
      <w:r w:rsidR="003D6F7E">
        <w:rPr>
          <w:rFonts w:ascii="Times New Roman" w:hAnsi="Times New Roman"/>
        </w:rPr>
        <w:t xml:space="preserve"> both decl</w:t>
      </w:r>
      <w:r w:rsidR="000F6FA7">
        <w:rPr>
          <w:rFonts w:ascii="Times New Roman" w:hAnsi="Times New Roman"/>
        </w:rPr>
        <w:t>ining</w:t>
      </w:r>
      <w:r w:rsidR="00F95940">
        <w:rPr>
          <w:rFonts w:ascii="Times New Roman" w:hAnsi="Times New Roman"/>
        </w:rPr>
        <w:t xml:space="preserve">.  </w:t>
      </w:r>
    </w:p>
    <w:p w:rsidR="00BA5477" w:rsidRDefault="003D6F7E" w:rsidP="00035A45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Novem</w:t>
      </w:r>
      <w:r w:rsidR="00EE2F87">
        <w:rPr>
          <w:rFonts w:ascii="Times New Roman" w:hAnsi="Times New Roman"/>
          <w:b/>
        </w:rPr>
        <w:t>ber</w:t>
      </w:r>
      <w:r w:rsidR="00EE2F87">
        <w:rPr>
          <w:rFonts w:ascii="Times New Roman" w:hAnsi="Times New Roman"/>
        </w:rPr>
        <w:t xml:space="preserve"> mark</w:t>
      </w:r>
      <w:r>
        <w:rPr>
          <w:rFonts w:ascii="Times New Roman" w:hAnsi="Times New Roman"/>
        </w:rPr>
        <w:t>s the eighth</w:t>
      </w:r>
      <w:r w:rsidR="00BA5477">
        <w:rPr>
          <w:rFonts w:ascii="Times New Roman" w:hAnsi="Times New Roman"/>
        </w:rPr>
        <w:t xml:space="preserve"> month during</w:t>
      </w:r>
      <w:r w:rsidR="00F95940">
        <w:rPr>
          <w:rFonts w:ascii="Times New Roman" w:hAnsi="Times New Roman"/>
        </w:rPr>
        <w:t xml:space="preserve"> 2012 </w:t>
      </w:r>
      <w:r w:rsidR="00217009">
        <w:rPr>
          <w:rFonts w:ascii="Times New Roman" w:hAnsi="Times New Roman"/>
        </w:rPr>
        <w:t>with</w:t>
      </w:r>
      <w:r w:rsidR="004C63AF">
        <w:rPr>
          <w:rFonts w:ascii="Times New Roman" w:hAnsi="Times New Roman"/>
        </w:rPr>
        <w:t xml:space="preserve"> IOFC above</w:t>
      </w:r>
      <w:r w:rsidR="00BA5477">
        <w:rPr>
          <w:rFonts w:ascii="Times New Roman" w:hAnsi="Times New Roman"/>
        </w:rPr>
        <w:t xml:space="preserve"> $8.00/ cwt</w:t>
      </w:r>
      <w:r w:rsidR="00F95940">
        <w:rPr>
          <w:rFonts w:ascii="Times New Roman" w:hAnsi="Times New Roman"/>
        </w:rPr>
        <w:t>. at the 22,000 lb production level</w:t>
      </w:r>
      <w:r w:rsidR="004C63AF">
        <w:rPr>
          <w:rFonts w:ascii="Times New Roman" w:hAnsi="Times New Roman"/>
        </w:rPr>
        <w:t>.  A total of three</w:t>
      </w:r>
      <w:r w:rsidR="0044401A">
        <w:rPr>
          <w:rFonts w:ascii="Times New Roman" w:hAnsi="Times New Roman"/>
        </w:rPr>
        <w:t xml:space="preserve"> months (of eleven </w:t>
      </w:r>
      <w:r w:rsidR="00390A5E">
        <w:rPr>
          <w:rFonts w:ascii="Times New Roman" w:hAnsi="Times New Roman"/>
        </w:rPr>
        <w:t>evalu</w:t>
      </w:r>
      <w:r w:rsidR="0044401A">
        <w:rPr>
          <w:rFonts w:ascii="Times New Roman" w:hAnsi="Times New Roman"/>
        </w:rPr>
        <w:t>ated</w:t>
      </w:r>
      <w:r w:rsidR="0073080A">
        <w:rPr>
          <w:rFonts w:ascii="Times New Roman" w:hAnsi="Times New Roman"/>
        </w:rPr>
        <w:t>)</w:t>
      </w:r>
      <w:r w:rsidR="00390A5E" w:rsidRPr="00390A5E">
        <w:rPr>
          <w:rFonts w:ascii="Times New Roman" w:hAnsi="Times New Roman"/>
        </w:rPr>
        <w:t xml:space="preserve"> </w:t>
      </w:r>
      <w:r w:rsidR="004C63AF">
        <w:rPr>
          <w:rFonts w:ascii="Times New Roman" w:hAnsi="Times New Roman"/>
        </w:rPr>
        <w:t>above</w:t>
      </w:r>
      <w:r w:rsidR="00390A5E">
        <w:rPr>
          <w:rFonts w:ascii="Times New Roman" w:hAnsi="Times New Roman"/>
        </w:rPr>
        <w:t xml:space="preserve"> $8.00/cwt IOFC</w:t>
      </w:r>
      <w:r w:rsidR="0044401A">
        <w:rPr>
          <w:rFonts w:ascii="Times New Roman" w:hAnsi="Times New Roman"/>
        </w:rPr>
        <w:t xml:space="preserve"> were recorded during 2009. </w:t>
      </w:r>
    </w:p>
    <w:p w:rsidR="0056661C" w:rsidRDefault="0056661C" w:rsidP="00B8020C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</w:t>
      </w:r>
      <w:r w:rsidR="007300ED">
        <w:rPr>
          <w:rFonts w:ascii="Times New Roman" w:hAnsi="Times New Roman"/>
        </w:rPr>
        <w:t xml:space="preserve">follow table summarizes </w:t>
      </w:r>
      <w:r w:rsidR="005F12E8">
        <w:rPr>
          <w:rFonts w:ascii="Times New Roman" w:hAnsi="Times New Roman"/>
        </w:rPr>
        <w:t xml:space="preserve">calculated </w:t>
      </w:r>
      <w:r w:rsidR="00A66784">
        <w:rPr>
          <w:rFonts w:ascii="Times New Roman" w:hAnsi="Times New Roman"/>
        </w:rPr>
        <w:t>Income</w:t>
      </w:r>
      <w:r w:rsidR="005F12E8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</w:t>
      </w:r>
      <w:r w:rsidR="00A66784">
        <w:rPr>
          <w:rFonts w:ascii="Times New Roman" w:hAnsi="Times New Roman"/>
        </w:rPr>
        <w:t>over</w:t>
      </w:r>
      <w:r>
        <w:rPr>
          <w:rFonts w:ascii="Times New Roman" w:hAnsi="Times New Roman"/>
        </w:rPr>
        <w:t xml:space="preserve"> Feed and Variable Costs for</w:t>
      </w:r>
      <w:r w:rsidR="0051483C">
        <w:rPr>
          <w:rFonts w:ascii="Times New Roman" w:hAnsi="Times New Roman"/>
        </w:rPr>
        <w:t xml:space="preserve"> </w:t>
      </w:r>
      <w:r w:rsidR="003D6F7E">
        <w:rPr>
          <w:rFonts w:ascii="Times New Roman" w:hAnsi="Times New Roman"/>
          <w:b/>
        </w:rPr>
        <w:t>Novem</w:t>
      </w:r>
      <w:r w:rsidR="00EE2F87">
        <w:rPr>
          <w:rFonts w:ascii="Times New Roman" w:hAnsi="Times New Roman"/>
          <w:b/>
        </w:rPr>
        <w:t>ber</w:t>
      </w:r>
      <w:r>
        <w:rPr>
          <w:rFonts w:ascii="Times New Roman" w:hAnsi="Times New Roman"/>
        </w:rPr>
        <w:t>.</w:t>
      </w:r>
    </w:p>
    <w:p w:rsidR="00AB6A43" w:rsidRDefault="00A66784" w:rsidP="0044401A">
      <w:pPr>
        <w:spacing w:after="0" w:line="240" w:lineRule="auto"/>
        <w:ind w:left="1440" w:firstLine="7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Incomes</w:t>
      </w:r>
      <w:r w:rsidR="00AB6A43" w:rsidRPr="00AB6A43">
        <w:rPr>
          <w:rFonts w:ascii="Times New Roman" w:hAnsi="Times New Roman"/>
          <w:b/>
        </w:rPr>
        <w:t xml:space="preserve"> Over Feed and </w:t>
      </w:r>
      <w:r w:rsidR="00480027">
        <w:rPr>
          <w:rFonts w:ascii="Times New Roman" w:hAnsi="Times New Roman"/>
          <w:b/>
        </w:rPr>
        <w:t xml:space="preserve">Total </w:t>
      </w:r>
      <w:r w:rsidR="00AB6A43" w:rsidRPr="00AB6A43">
        <w:rPr>
          <w:rFonts w:ascii="Times New Roman" w:hAnsi="Times New Roman"/>
          <w:b/>
        </w:rPr>
        <w:t xml:space="preserve">Variable Costs per CWT </w:t>
      </w:r>
    </w:p>
    <w:p w:rsidR="00AB6A43" w:rsidRPr="00E15B09" w:rsidRDefault="00AB6A43" w:rsidP="00AB6A43">
      <w:pPr>
        <w:spacing w:line="240" w:lineRule="auto"/>
        <w:ind w:left="216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</w:t>
      </w:r>
      <w:r w:rsidR="00727995">
        <w:rPr>
          <w:rFonts w:ascii="Times New Roman" w:hAnsi="Times New Roman"/>
        </w:rPr>
        <w:t>For A Mail Box Price o</w:t>
      </w:r>
      <w:r w:rsidR="009B1E87">
        <w:rPr>
          <w:rFonts w:ascii="Times New Roman" w:hAnsi="Times New Roman"/>
        </w:rPr>
        <w:t>f $</w:t>
      </w:r>
      <w:r w:rsidR="004A1852">
        <w:rPr>
          <w:rFonts w:ascii="Times New Roman" w:hAnsi="Times New Roman"/>
        </w:rPr>
        <w:t>22</w:t>
      </w:r>
      <w:r w:rsidR="00C75192">
        <w:rPr>
          <w:rFonts w:ascii="Times New Roman" w:hAnsi="Times New Roman"/>
        </w:rPr>
        <w:t>.</w:t>
      </w:r>
      <w:r w:rsidR="003D6F7E">
        <w:rPr>
          <w:rFonts w:ascii="Times New Roman" w:hAnsi="Times New Roman"/>
        </w:rPr>
        <w:t>25</w:t>
      </w:r>
      <w:r w:rsidRPr="00E15B09">
        <w:rPr>
          <w:rFonts w:ascii="Times New Roman" w:hAnsi="Times New Roman"/>
        </w:rPr>
        <w:t xml:space="preserve">/CWT </w:t>
      </w:r>
    </w:p>
    <w:p w:rsidR="0056661C" w:rsidRDefault="00AB6A43" w:rsidP="00AB6A43">
      <w:pPr>
        <w:spacing w:line="240" w:lineRule="auto"/>
        <w:ind w:left="2880" w:firstLine="720"/>
        <w:jc w:val="both"/>
        <w:rPr>
          <w:rFonts w:ascii="Times New Roman" w:hAnsi="Times New Roman"/>
        </w:rPr>
      </w:pPr>
      <w:r w:rsidRPr="00843B8D">
        <w:rPr>
          <w:rFonts w:ascii="Times New Roman" w:hAnsi="Times New Roman"/>
        </w:rPr>
        <w:t>For</w:t>
      </w:r>
      <w:r w:rsidR="0051483C">
        <w:rPr>
          <w:rFonts w:ascii="Times New Roman" w:hAnsi="Times New Roman"/>
        </w:rPr>
        <w:t xml:space="preserve"> </w:t>
      </w:r>
      <w:r w:rsidR="003D6F7E">
        <w:rPr>
          <w:rFonts w:ascii="Times New Roman" w:hAnsi="Times New Roman"/>
          <w:b/>
        </w:rPr>
        <w:t>Novem</w:t>
      </w:r>
      <w:r w:rsidR="00EE2F87">
        <w:rPr>
          <w:rFonts w:ascii="Times New Roman" w:hAnsi="Times New Roman"/>
          <w:b/>
        </w:rPr>
        <w:t>ber</w:t>
      </w:r>
      <w:r w:rsidR="00A6253A">
        <w:rPr>
          <w:rFonts w:ascii="Times New Roman" w:hAnsi="Times New Roman"/>
        </w:rPr>
        <w:t xml:space="preserve"> </w:t>
      </w:r>
      <w:r w:rsidRPr="00BF5A22">
        <w:rPr>
          <w:rFonts w:ascii="Times New Roman" w:hAnsi="Times New Roman"/>
        </w:rPr>
        <w:t>20</w:t>
      </w:r>
      <w:r w:rsidR="009118E6">
        <w:rPr>
          <w:rFonts w:ascii="Times New Roman" w:hAnsi="Times New Roman"/>
        </w:rPr>
        <w:t>1</w:t>
      </w:r>
      <w:r w:rsidR="00DF19CE">
        <w:rPr>
          <w:rFonts w:ascii="Times New Roman" w:hAnsi="Times New Roman"/>
        </w:rPr>
        <w:t>2</w:t>
      </w:r>
      <w:r w:rsidRPr="00AB6A43">
        <w:rPr>
          <w:rFonts w:ascii="Times New Roman" w:hAnsi="Times New Roman"/>
          <w:b/>
        </w:rPr>
        <w:t xml:space="preserve"> </w:t>
      </w:r>
      <w:r w:rsidRPr="00843B8D">
        <w:rPr>
          <w:rFonts w:ascii="Times New Roman" w:hAnsi="Times New Roman"/>
        </w:rPr>
        <w:t>Milk</w:t>
      </w:r>
      <w:r w:rsidRPr="00AB6A43">
        <w:rPr>
          <w:rFonts w:ascii="Times New Roman" w:hAnsi="Times New Roman"/>
          <w:b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F24C69" w:rsidRPr="00357F35" w:rsidTr="00357F35">
        <w:tc>
          <w:tcPr>
            <w:tcW w:w="3192" w:type="dxa"/>
          </w:tcPr>
          <w:p w:rsidR="00F24C69" w:rsidRPr="00357F35" w:rsidRDefault="00F24C69" w:rsidP="00357F3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57F35">
              <w:rPr>
                <w:rFonts w:ascii="Times New Roman" w:hAnsi="Times New Roman"/>
              </w:rPr>
              <w:t>Production per Year</w:t>
            </w:r>
          </w:p>
        </w:tc>
        <w:tc>
          <w:tcPr>
            <w:tcW w:w="3192" w:type="dxa"/>
          </w:tcPr>
          <w:p w:rsidR="00F24C69" w:rsidRPr="00357F35" w:rsidRDefault="00A66784" w:rsidP="00A66784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Incomes</w:t>
            </w:r>
            <w:r w:rsidR="00F24C69" w:rsidRPr="00357F35">
              <w:rPr>
                <w:rFonts w:ascii="Times New Roman" w:hAnsi="Times New Roman"/>
              </w:rPr>
              <w:t xml:space="preserve"> Over Feed Costs</w:t>
            </w:r>
            <w:r w:rsidR="005E4741">
              <w:rPr>
                <w:rFonts w:ascii="Times New Roman" w:hAnsi="Times New Roman"/>
              </w:rPr>
              <w:t>/CWT</w:t>
            </w:r>
          </w:p>
        </w:tc>
        <w:tc>
          <w:tcPr>
            <w:tcW w:w="3192" w:type="dxa"/>
          </w:tcPr>
          <w:p w:rsidR="00F24C69" w:rsidRPr="00357F35" w:rsidRDefault="00A66784" w:rsidP="00357F35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Income</w:t>
            </w:r>
            <w:r w:rsidR="00F24C69" w:rsidRPr="00357F35">
              <w:rPr>
                <w:rFonts w:ascii="Times New Roman" w:hAnsi="Times New Roman"/>
              </w:rPr>
              <w:t>s Over</w:t>
            </w:r>
            <w:r w:rsidR="00480027">
              <w:rPr>
                <w:rFonts w:ascii="Times New Roman" w:hAnsi="Times New Roman"/>
              </w:rPr>
              <w:t xml:space="preserve"> Total</w:t>
            </w:r>
            <w:r w:rsidR="00F24C69" w:rsidRPr="00357F35">
              <w:rPr>
                <w:rFonts w:ascii="Times New Roman" w:hAnsi="Times New Roman"/>
              </w:rPr>
              <w:t xml:space="preserve"> Variable Costs</w:t>
            </w:r>
            <w:r w:rsidR="005E4741">
              <w:rPr>
                <w:rFonts w:ascii="Times New Roman" w:hAnsi="Times New Roman"/>
              </w:rPr>
              <w:t>/CWT</w:t>
            </w:r>
          </w:p>
        </w:tc>
      </w:tr>
      <w:tr w:rsidR="00F24C69" w:rsidRPr="00357F35" w:rsidTr="00357F35">
        <w:tc>
          <w:tcPr>
            <w:tcW w:w="3192" w:type="dxa"/>
          </w:tcPr>
          <w:p w:rsidR="00F24C69" w:rsidRPr="00357F35" w:rsidRDefault="00F24C69" w:rsidP="00357F3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57F35">
              <w:rPr>
                <w:rFonts w:ascii="Times New Roman" w:hAnsi="Times New Roman"/>
              </w:rPr>
              <w:t>18,000 lbs.</w:t>
            </w:r>
          </w:p>
        </w:tc>
        <w:tc>
          <w:tcPr>
            <w:tcW w:w="3192" w:type="dxa"/>
          </w:tcPr>
          <w:p w:rsidR="00F24C69" w:rsidRPr="00357F35" w:rsidRDefault="00F24C69" w:rsidP="00D46E6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57F35">
              <w:rPr>
                <w:rFonts w:ascii="Times New Roman" w:hAnsi="Times New Roman"/>
              </w:rPr>
              <w:t>$</w:t>
            </w:r>
            <w:r w:rsidR="000B3621">
              <w:rPr>
                <w:rFonts w:ascii="Times New Roman" w:hAnsi="Times New Roman"/>
              </w:rPr>
              <w:t xml:space="preserve"> </w:t>
            </w:r>
            <w:r w:rsidR="005502D0">
              <w:rPr>
                <w:rFonts w:ascii="Times New Roman" w:hAnsi="Times New Roman"/>
              </w:rPr>
              <w:t xml:space="preserve"> </w:t>
            </w:r>
            <w:r w:rsidR="00251D9F">
              <w:rPr>
                <w:rFonts w:ascii="Times New Roman" w:hAnsi="Times New Roman"/>
              </w:rPr>
              <w:t xml:space="preserve"> 12</w:t>
            </w:r>
            <w:r w:rsidR="00E160FA">
              <w:rPr>
                <w:rFonts w:ascii="Times New Roman" w:hAnsi="Times New Roman"/>
              </w:rPr>
              <w:t>.</w:t>
            </w:r>
            <w:r w:rsidR="000F6FA7">
              <w:rPr>
                <w:rFonts w:ascii="Times New Roman" w:hAnsi="Times New Roman"/>
              </w:rPr>
              <w:t>19</w:t>
            </w:r>
          </w:p>
        </w:tc>
        <w:tc>
          <w:tcPr>
            <w:tcW w:w="3192" w:type="dxa"/>
          </w:tcPr>
          <w:p w:rsidR="00F24C69" w:rsidRPr="00357F35" w:rsidRDefault="00A711E2" w:rsidP="005502D0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$</w:t>
            </w:r>
            <w:r w:rsidR="000B3621">
              <w:rPr>
                <w:rFonts w:ascii="Times New Roman" w:hAnsi="Times New Roman"/>
              </w:rPr>
              <w:t xml:space="preserve"> </w:t>
            </w:r>
            <w:r w:rsidR="00251D9F">
              <w:rPr>
                <w:rFonts w:ascii="Times New Roman" w:hAnsi="Times New Roman"/>
              </w:rPr>
              <w:t>9</w:t>
            </w:r>
            <w:r w:rsidR="00822E72">
              <w:rPr>
                <w:rFonts w:ascii="Times New Roman" w:hAnsi="Times New Roman"/>
              </w:rPr>
              <w:t>.</w:t>
            </w:r>
            <w:r w:rsidR="000F6FA7">
              <w:rPr>
                <w:rFonts w:ascii="Times New Roman" w:hAnsi="Times New Roman"/>
              </w:rPr>
              <w:t>5</w:t>
            </w:r>
            <w:r w:rsidR="00251D9F">
              <w:rPr>
                <w:rFonts w:ascii="Times New Roman" w:hAnsi="Times New Roman"/>
              </w:rPr>
              <w:t>6</w:t>
            </w:r>
          </w:p>
        </w:tc>
      </w:tr>
      <w:tr w:rsidR="00F24C69" w:rsidRPr="00357F35" w:rsidTr="00357F35">
        <w:tc>
          <w:tcPr>
            <w:tcW w:w="3192" w:type="dxa"/>
          </w:tcPr>
          <w:p w:rsidR="00F24C69" w:rsidRPr="00357F35" w:rsidRDefault="00F24C69" w:rsidP="00357F3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57F35">
              <w:rPr>
                <w:rFonts w:ascii="Times New Roman" w:hAnsi="Times New Roman"/>
              </w:rPr>
              <w:t>20,000 lbs.</w:t>
            </w:r>
          </w:p>
        </w:tc>
        <w:tc>
          <w:tcPr>
            <w:tcW w:w="3192" w:type="dxa"/>
          </w:tcPr>
          <w:p w:rsidR="00F24C69" w:rsidRPr="00357F35" w:rsidRDefault="00BA139E" w:rsidP="00822E72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0B3621">
              <w:rPr>
                <w:rFonts w:ascii="Times New Roman" w:hAnsi="Times New Roman"/>
              </w:rPr>
              <w:t xml:space="preserve"> </w:t>
            </w:r>
            <w:r w:rsidR="005502D0">
              <w:rPr>
                <w:rFonts w:ascii="Times New Roman" w:hAnsi="Times New Roman"/>
              </w:rPr>
              <w:t xml:space="preserve"> </w:t>
            </w:r>
            <w:r w:rsidR="00251D9F">
              <w:rPr>
                <w:rFonts w:ascii="Times New Roman" w:hAnsi="Times New Roman"/>
              </w:rPr>
              <w:t xml:space="preserve"> 12</w:t>
            </w:r>
            <w:r w:rsidR="00444FAD">
              <w:rPr>
                <w:rFonts w:ascii="Times New Roman" w:hAnsi="Times New Roman"/>
              </w:rPr>
              <w:t>.</w:t>
            </w:r>
            <w:r w:rsidR="000F6FA7">
              <w:rPr>
                <w:rFonts w:ascii="Times New Roman" w:hAnsi="Times New Roman"/>
              </w:rPr>
              <w:t>39</w:t>
            </w:r>
          </w:p>
        </w:tc>
        <w:tc>
          <w:tcPr>
            <w:tcW w:w="3192" w:type="dxa"/>
          </w:tcPr>
          <w:p w:rsidR="00F24C69" w:rsidRPr="00357F35" w:rsidRDefault="00DB7A2B" w:rsidP="007A4456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0B3621">
              <w:rPr>
                <w:rFonts w:ascii="Times New Roman" w:hAnsi="Times New Roman"/>
              </w:rPr>
              <w:t xml:space="preserve"> </w:t>
            </w:r>
            <w:r w:rsidR="005502D0">
              <w:rPr>
                <w:rFonts w:ascii="Times New Roman" w:hAnsi="Times New Roman"/>
              </w:rPr>
              <w:t xml:space="preserve"> </w:t>
            </w:r>
            <w:r w:rsidR="00251D9F">
              <w:rPr>
                <w:rFonts w:ascii="Times New Roman" w:hAnsi="Times New Roman"/>
              </w:rPr>
              <w:t>10.0</w:t>
            </w:r>
            <w:r w:rsidR="000F6FA7">
              <w:rPr>
                <w:rFonts w:ascii="Times New Roman" w:hAnsi="Times New Roman"/>
              </w:rPr>
              <w:t>3</w:t>
            </w:r>
          </w:p>
        </w:tc>
      </w:tr>
      <w:tr w:rsidR="00F24C69" w:rsidRPr="00357F35" w:rsidTr="00357F35">
        <w:tc>
          <w:tcPr>
            <w:tcW w:w="3192" w:type="dxa"/>
          </w:tcPr>
          <w:p w:rsidR="00F24C69" w:rsidRPr="00357F35" w:rsidRDefault="00F24C69" w:rsidP="00357F3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57F35">
              <w:rPr>
                <w:rFonts w:ascii="Times New Roman" w:hAnsi="Times New Roman"/>
              </w:rPr>
              <w:t>22,000 lbs.</w:t>
            </w:r>
          </w:p>
        </w:tc>
        <w:tc>
          <w:tcPr>
            <w:tcW w:w="3192" w:type="dxa"/>
          </w:tcPr>
          <w:p w:rsidR="00F24C69" w:rsidRPr="00357F35" w:rsidRDefault="00BA139E" w:rsidP="00822E72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DB7A2B">
              <w:rPr>
                <w:rFonts w:ascii="Times New Roman" w:hAnsi="Times New Roman"/>
              </w:rPr>
              <w:t xml:space="preserve"> </w:t>
            </w:r>
            <w:r w:rsidR="000B3621">
              <w:rPr>
                <w:rFonts w:ascii="Times New Roman" w:hAnsi="Times New Roman"/>
              </w:rPr>
              <w:t xml:space="preserve"> </w:t>
            </w:r>
            <w:r w:rsidR="005502D0">
              <w:rPr>
                <w:rFonts w:ascii="Times New Roman" w:hAnsi="Times New Roman"/>
              </w:rPr>
              <w:t xml:space="preserve"> </w:t>
            </w:r>
            <w:r w:rsidR="00EE2F87">
              <w:rPr>
                <w:rFonts w:ascii="Times New Roman" w:hAnsi="Times New Roman"/>
              </w:rPr>
              <w:t xml:space="preserve"> </w:t>
            </w:r>
            <w:r w:rsidR="00251D9F">
              <w:rPr>
                <w:rFonts w:ascii="Times New Roman" w:hAnsi="Times New Roman"/>
              </w:rPr>
              <w:t>12.5</w:t>
            </w:r>
            <w:r w:rsidR="000F6FA7">
              <w:rPr>
                <w:rFonts w:ascii="Times New Roman" w:hAnsi="Times New Roman"/>
              </w:rPr>
              <w:t>6</w:t>
            </w:r>
          </w:p>
        </w:tc>
        <w:tc>
          <w:tcPr>
            <w:tcW w:w="3192" w:type="dxa"/>
          </w:tcPr>
          <w:p w:rsidR="00F24C69" w:rsidRPr="00357F35" w:rsidRDefault="00EE2F87" w:rsidP="00DF19CE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251D9F">
              <w:rPr>
                <w:rFonts w:ascii="Times New Roman" w:hAnsi="Times New Roman"/>
              </w:rPr>
              <w:t>10.4</w:t>
            </w:r>
            <w:r w:rsidR="000F6FA7">
              <w:rPr>
                <w:rFonts w:ascii="Times New Roman" w:hAnsi="Times New Roman"/>
              </w:rPr>
              <w:t>2</w:t>
            </w:r>
          </w:p>
        </w:tc>
      </w:tr>
      <w:tr w:rsidR="00F24C69" w:rsidRPr="00357F35" w:rsidTr="00357F35">
        <w:tc>
          <w:tcPr>
            <w:tcW w:w="3192" w:type="dxa"/>
          </w:tcPr>
          <w:p w:rsidR="00F24C69" w:rsidRPr="00357F35" w:rsidRDefault="00F24C69" w:rsidP="00357F3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57F35">
              <w:rPr>
                <w:rFonts w:ascii="Times New Roman" w:hAnsi="Times New Roman"/>
              </w:rPr>
              <w:t>24,000 lbs.</w:t>
            </w:r>
          </w:p>
        </w:tc>
        <w:tc>
          <w:tcPr>
            <w:tcW w:w="3192" w:type="dxa"/>
          </w:tcPr>
          <w:p w:rsidR="00F24C69" w:rsidRPr="00357F35" w:rsidRDefault="00BA139E" w:rsidP="00822E72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0B3621">
              <w:rPr>
                <w:rFonts w:ascii="Times New Roman" w:hAnsi="Times New Roman"/>
              </w:rPr>
              <w:t xml:space="preserve"> </w:t>
            </w:r>
            <w:r w:rsidR="005502D0">
              <w:rPr>
                <w:rFonts w:ascii="Times New Roman" w:hAnsi="Times New Roman"/>
              </w:rPr>
              <w:t xml:space="preserve"> </w:t>
            </w:r>
            <w:r w:rsidR="00EE2F87">
              <w:rPr>
                <w:rFonts w:ascii="Times New Roman" w:hAnsi="Times New Roman"/>
              </w:rPr>
              <w:t xml:space="preserve"> </w:t>
            </w:r>
            <w:r w:rsidR="00251D9F">
              <w:rPr>
                <w:rFonts w:ascii="Times New Roman" w:hAnsi="Times New Roman"/>
              </w:rPr>
              <w:t>12.7</w:t>
            </w:r>
            <w:r w:rsidR="000F6FA7">
              <w:rPr>
                <w:rFonts w:ascii="Times New Roman" w:hAnsi="Times New Roman"/>
              </w:rPr>
              <w:t>0</w:t>
            </w:r>
          </w:p>
        </w:tc>
        <w:tc>
          <w:tcPr>
            <w:tcW w:w="3192" w:type="dxa"/>
          </w:tcPr>
          <w:p w:rsidR="00F24C69" w:rsidRPr="00357F35" w:rsidRDefault="00DB7A2B" w:rsidP="003355A7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3D2450">
              <w:rPr>
                <w:rFonts w:ascii="Times New Roman" w:hAnsi="Times New Roman"/>
              </w:rPr>
              <w:t xml:space="preserve"> </w:t>
            </w:r>
            <w:r w:rsidR="00EE2F87">
              <w:rPr>
                <w:rFonts w:ascii="Times New Roman" w:hAnsi="Times New Roman"/>
              </w:rPr>
              <w:t xml:space="preserve"> </w:t>
            </w:r>
            <w:r w:rsidR="00251D9F">
              <w:rPr>
                <w:rFonts w:ascii="Times New Roman" w:hAnsi="Times New Roman"/>
              </w:rPr>
              <w:t>10.7</w:t>
            </w:r>
            <w:r w:rsidR="000F6FA7">
              <w:rPr>
                <w:rFonts w:ascii="Times New Roman" w:hAnsi="Times New Roman"/>
              </w:rPr>
              <w:t>4</w:t>
            </w:r>
          </w:p>
        </w:tc>
      </w:tr>
      <w:tr w:rsidR="00F24C69" w:rsidRPr="00357F35" w:rsidTr="00357F35">
        <w:tc>
          <w:tcPr>
            <w:tcW w:w="3192" w:type="dxa"/>
          </w:tcPr>
          <w:p w:rsidR="00F24C69" w:rsidRPr="00357F35" w:rsidRDefault="00F24C69" w:rsidP="00357F3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57F35">
              <w:rPr>
                <w:rFonts w:ascii="Times New Roman" w:hAnsi="Times New Roman"/>
              </w:rPr>
              <w:t>26,000 lbs.</w:t>
            </w:r>
          </w:p>
        </w:tc>
        <w:tc>
          <w:tcPr>
            <w:tcW w:w="3192" w:type="dxa"/>
          </w:tcPr>
          <w:p w:rsidR="00F24C69" w:rsidRPr="00357F35" w:rsidRDefault="003D2450" w:rsidP="00C50C7F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D46E6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="00251D9F">
              <w:rPr>
                <w:rFonts w:ascii="Times New Roman" w:hAnsi="Times New Roman"/>
              </w:rPr>
              <w:t>12.8</w:t>
            </w:r>
            <w:r w:rsidR="000F6FA7">
              <w:rPr>
                <w:rFonts w:ascii="Times New Roman" w:hAnsi="Times New Roman"/>
              </w:rPr>
              <w:t>2</w:t>
            </w:r>
          </w:p>
        </w:tc>
        <w:tc>
          <w:tcPr>
            <w:tcW w:w="3192" w:type="dxa"/>
          </w:tcPr>
          <w:p w:rsidR="00F24C69" w:rsidRPr="00357F35" w:rsidRDefault="000B3621" w:rsidP="003355A7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ED169A">
              <w:rPr>
                <w:rFonts w:ascii="Times New Roman" w:hAnsi="Times New Roman"/>
              </w:rPr>
              <w:t xml:space="preserve"> </w:t>
            </w:r>
            <w:r w:rsidR="00251D9F">
              <w:rPr>
                <w:rFonts w:ascii="Times New Roman" w:hAnsi="Times New Roman"/>
              </w:rPr>
              <w:t xml:space="preserve"> 11.01</w:t>
            </w:r>
          </w:p>
        </w:tc>
      </w:tr>
      <w:tr w:rsidR="00F24C69" w:rsidRPr="00357F35" w:rsidTr="00357F35">
        <w:tc>
          <w:tcPr>
            <w:tcW w:w="3192" w:type="dxa"/>
          </w:tcPr>
          <w:p w:rsidR="00F24C69" w:rsidRPr="00357F35" w:rsidRDefault="00F24C69" w:rsidP="00357F3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57F35">
              <w:rPr>
                <w:rFonts w:ascii="Times New Roman" w:hAnsi="Times New Roman"/>
              </w:rPr>
              <w:t>28,000 lbs.</w:t>
            </w:r>
          </w:p>
        </w:tc>
        <w:tc>
          <w:tcPr>
            <w:tcW w:w="3192" w:type="dxa"/>
          </w:tcPr>
          <w:p w:rsidR="00F24C69" w:rsidRPr="00357F35" w:rsidRDefault="003D2450" w:rsidP="00EE2F87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="00E87BCC">
              <w:rPr>
                <w:rFonts w:ascii="Times New Roman" w:hAnsi="Times New Roman"/>
              </w:rPr>
              <w:t xml:space="preserve"> </w:t>
            </w:r>
            <w:r w:rsidR="00251D9F">
              <w:rPr>
                <w:rFonts w:ascii="Times New Roman" w:hAnsi="Times New Roman"/>
              </w:rPr>
              <w:t>12.9</w:t>
            </w:r>
            <w:r w:rsidR="000F6FA7">
              <w:rPr>
                <w:rFonts w:ascii="Times New Roman" w:hAnsi="Times New Roman"/>
              </w:rPr>
              <w:t>3</w:t>
            </w:r>
          </w:p>
        </w:tc>
        <w:tc>
          <w:tcPr>
            <w:tcW w:w="3192" w:type="dxa"/>
          </w:tcPr>
          <w:p w:rsidR="00F24C69" w:rsidRPr="00357F35" w:rsidRDefault="000B3621" w:rsidP="003355A7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3D2450">
              <w:rPr>
                <w:rFonts w:ascii="Times New Roman" w:hAnsi="Times New Roman"/>
              </w:rPr>
              <w:t xml:space="preserve"> </w:t>
            </w:r>
            <w:r w:rsidR="00EE2F87">
              <w:rPr>
                <w:rFonts w:ascii="Times New Roman" w:hAnsi="Times New Roman"/>
              </w:rPr>
              <w:t xml:space="preserve"> </w:t>
            </w:r>
            <w:r w:rsidR="00251D9F">
              <w:rPr>
                <w:rFonts w:ascii="Times New Roman" w:hAnsi="Times New Roman"/>
              </w:rPr>
              <w:t>11.2</w:t>
            </w:r>
            <w:r w:rsidR="000F6FA7">
              <w:rPr>
                <w:rFonts w:ascii="Times New Roman" w:hAnsi="Times New Roman"/>
              </w:rPr>
              <w:t>4</w:t>
            </w:r>
          </w:p>
        </w:tc>
      </w:tr>
      <w:tr w:rsidR="00F24C69" w:rsidRPr="00357F35" w:rsidTr="00357F35">
        <w:tc>
          <w:tcPr>
            <w:tcW w:w="3192" w:type="dxa"/>
          </w:tcPr>
          <w:p w:rsidR="00F24C69" w:rsidRPr="00357F35" w:rsidRDefault="00F24C69" w:rsidP="00357F3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57F35">
              <w:rPr>
                <w:rFonts w:ascii="Times New Roman" w:hAnsi="Times New Roman"/>
              </w:rPr>
              <w:t>30,000 lbs.</w:t>
            </w:r>
          </w:p>
        </w:tc>
        <w:tc>
          <w:tcPr>
            <w:tcW w:w="3192" w:type="dxa"/>
          </w:tcPr>
          <w:p w:rsidR="00F24C69" w:rsidRPr="00357F35" w:rsidRDefault="003D2450" w:rsidP="00DF19CE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="00EE2F87">
              <w:rPr>
                <w:rFonts w:ascii="Times New Roman" w:hAnsi="Times New Roman"/>
              </w:rPr>
              <w:t xml:space="preserve"> </w:t>
            </w:r>
            <w:r w:rsidR="00251D9F">
              <w:rPr>
                <w:rFonts w:ascii="Times New Roman" w:hAnsi="Times New Roman"/>
              </w:rPr>
              <w:t>13.0</w:t>
            </w:r>
            <w:r w:rsidR="000F6FA7">
              <w:rPr>
                <w:rFonts w:ascii="Times New Roman" w:hAnsi="Times New Roman"/>
              </w:rPr>
              <w:t>1</w:t>
            </w:r>
          </w:p>
        </w:tc>
        <w:tc>
          <w:tcPr>
            <w:tcW w:w="3192" w:type="dxa"/>
          </w:tcPr>
          <w:p w:rsidR="00A04D7E" w:rsidRPr="00357F35" w:rsidRDefault="000B3621" w:rsidP="003355A7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D46E61">
              <w:rPr>
                <w:rFonts w:ascii="Times New Roman" w:hAnsi="Times New Roman"/>
              </w:rPr>
              <w:t xml:space="preserve"> </w:t>
            </w:r>
            <w:r w:rsidR="003D2450">
              <w:rPr>
                <w:rFonts w:ascii="Times New Roman" w:hAnsi="Times New Roman"/>
              </w:rPr>
              <w:t xml:space="preserve"> </w:t>
            </w:r>
            <w:r w:rsidR="00251D9F">
              <w:rPr>
                <w:rFonts w:ascii="Times New Roman" w:hAnsi="Times New Roman"/>
              </w:rPr>
              <w:t>11.4</w:t>
            </w:r>
            <w:r w:rsidR="000F6FA7">
              <w:rPr>
                <w:rFonts w:ascii="Times New Roman" w:hAnsi="Times New Roman"/>
              </w:rPr>
              <w:t>4</w:t>
            </w:r>
          </w:p>
        </w:tc>
      </w:tr>
    </w:tbl>
    <w:p w:rsidR="00256F7A" w:rsidRDefault="00256F7A" w:rsidP="00B8020C">
      <w:pPr>
        <w:spacing w:line="240" w:lineRule="auto"/>
        <w:jc w:val="both"/>
        <w:rPr>
          <w:rFonts w:ascii="Times New Roman" w:hAnsi="Times New Roman"/>
        </w:rPr>
      </w:pPr>
    </w:p>
    <w:p w:rsidR="00737421" w:rsidRDefault="00D05661" w:rsidP="00D05661">
      <w:pPr>
        <w:spacing w:line="240" w:lineRule="auto"/>
        <w:rPr>
          <w:rFonts w:ascii="Times New Roman" w:hAnsi="Times New Roman"/>
          <w:i/>
        </w:rPr>
      </w:pPr>
      <w:r w:rsidRPr="00D05661">
        <w:rPr>
          <w:rFonts w:ascii="Times New Roman" w:hAnsi="Times New Roman"/>
          <w:i/>
        </w:rPr>
        <w:t xml:space="preserve">See the chart below for the developing trend line of monthly Return </w:t>
      </w:r>
      <w:r w:rsidR="002D618B">
        <w:rPr>
          <w:rFonts w:ascii="Times New Roman" w:hAnsi="Times New Roman"/>
          <w:i/>
        </w:rPr>
        <w:t>o</w:t>
      </w:r>
      <w:r w:rsidR="00A6253A">
        <w:rPr>
          <w:rFonts w:ascii="Times New Roman" w:hAnsi="Times New Roman"/>
          <w:i/>
        </w:rPr>
        <w:t xml:space="preserve">ver Feed Cost per CWT </w:t>
      </w:r>
      <w:r w:rsidR="00D158A1">
        <w:rPr>
          <w:rFonts w:ascii="Times New Roman" w:hAnsi="Times New Roman"/>
          <w:i/>
        </w:rPr>
        <w:t xml:space="preserve">and Feed Cost per Dollar of Gross Revenue </w:t>
      </w:r>
      <w:r w:rsidR="00193FED">
        <w:rPr>
          <w:rFonts w:ascii="Times New Roman" w:hAnsi="Times New Roman"/>
          <w:i/>
        </w:rPr>
        <w:t>for 2011</w:t>
      </w:r>
      <w:r w:rsidR="001223FC">
        <w:rPr>
          <w:rFonts w:ascii="Times New Roman" w:hAnsi="Times New Roman"/>
          <w:i/>
        </w:rPr>
        <w:t>-1</w:t>
      </w:r>
      <w:r w:rsidR="00193FED">
        <w:rPr>
          <w:rFonts w:ascii="Times New Roman" w:hAnsi="Times New Roman"/>
          <w:i/>
        </w:rPr>
        <w:t>2</w:t>
      </w:r>
      <w:r w:rsidRPr="00D05661">
        <w:rPr>
          <w:rFonts w:ascii="Times New Roman" w:hAnsi="Times New Roman"/>
          <w:i/>
        </w:rPr>
        <w:t>.</w:t>
      </w:r>
    </w:p>
    <w:p w:rsidR="00FE219C" w:rsidRDefault="005E0ADC" w:rsidP="0044401A">
      <w:pPr>
        <w:spacing w:line="240" w:lineRule="auto"/>
        <w:rPr>
          <w:b/>
        </w:rPr>
      </w:pPr>
      <w:r>
        <w:rPr>
          <w:rFonts w:ascii="Times New Roman" w:hAnsi="Times New Roman"/>
          <w:i/>
        </w:rPr>
        <w:t>F</w:t>
      </w:r>
      <w:r w:rsidRPr="005E0ADC">
        <w:rPr>
          <w:rFonts w:ascii="Times New Roman" w:hAnsi="Times New Roman"/>
          <w:i/>
        </w:rPr>
        <w:t xml:space="preserve">ollowing is </w:t>
      </w:r>
      <w:r w:rsidR="002D618B" w:rsidRPr="005E0ADC">
        <w:rPr>
          <w:rFonts w:ascii="Times New Roman" w:hAnsi="Times New Roman"/>
          <w:i/>
        </w:rPr>
        <w:t>an</w:t>
      </w:r>
      <w:r>
        <w:rPr>
          <w:rFonts w:ascii="Times New Roman" w:hAnsi="Times New Roman"/>
          <w:i/>
        </w:rPr>
        <w:t xml:space="preserve"> IOFC 4</w:t>
      </w:r>
      <w:r w:rsidR="0049764A">
        <w:rPr>
          <w:rFonts w:ascii="Times New Roman" w:hAnsi="Times New Roman"/>
          <w:i/>
        </w:rPr>
        <w:t>6</w:t>
      </w:r>
      <w:r w:rsidR="00BA5477">
        <w:rPr>
          <w:rFonts w:ascii="Times New Roman" w:hAnsi="Times New Roman"/>
          <w:i/>
        </w:rPr>
        <w:t xml:space="preserve"> month comparison from February 2009 to the present. See the second chart below.</w:t>
      </w:r>
    </w:p>
    <w:p w:rsidR="00DC6BE7" w:rsidRDefault="00DC6BE7" w:rsidP="0044401A">
      <w:pPr>
        <w:spacing w:after="0" w:line="240" w:lineRule="auto"/>
        <w:ind w:left="1440" w:firstLine="720"/>
        <w:rPr>
          <w:rFonts w:ascii="Times New Roman" w:hAnsi="Times New Roman"/>
          <w:b/>
          <w:sz w:val="28"/>
          <w:szCs w:val="28"/>
        </w:rPr>
      </w:pPr>
    </w:p>
    <w:p w:rsidR="008B52CB" w:rsidRPr="0044401A" w:rsidRDefault="008B52CB" w:rsidP="0044401A">
      <w:pPr>
        <w:spacing w:after="0" w:line="240" w:lineRule="auto"/>
        <w:ind w:left="1440" w:firstLine="720"/>
        <w:rPr>
          <w:rFonts w:ascii="Times New Roman" w:hAnsi="Times New Roman"/>
          <w:b/>
          <w:sz w:val="28"/>
          <w:szCs w:val="28"/>
        </w:rPr>
      </w:pPr>
      <w:r w:rsidRPr="0044401A">
        <w:rPr>
          <w:rFonts w:ascii="Times New Roman" w:hAnsi="Times New Roman"/>
          <w:b/>
          <w:sz w:val="28"/>
          <w:szCs w:val="28"/>
        </w:rPr>
        <w:t>Wisconsin Calculated COP for Milk</w:t>
      </w:r>
    </w:p>
    <w:p w:rsidR="008B52CB" w:rsidRPr="0044401A" w:rsidRDefault="008B52CB" w:rsidP="006B6EFE">
      <w:pPr>
        <w:spacing w:after="0" w:line="240" w:lineRule="auto"/>
        <w:ind w:left="1440"/>
        <w:rPr>
          <w:rFonts w:ascii="Times New Roman" w:hAnsi="Times New Roman"/>
          <w:b/>
          <w:sz w:val="28"/>
          <w:szCs w:val="28"/>
        </w:rPr>
      </w:pPr>
      <w:r>
        <w:rPr>
          <w:b/>
        </w:rPr>
        <w:t xml:space="preserve">        </w:t>
      </w:r>
      <w:r>
        <w:rPr>
          <w:b/>
        </w:rPr>
        <w:tab/>
      </w:r>
      <w:r w:rsidRPr="0044401A">
        <w:rPr>
          <w:rFonts w:ascii="Times New Roman" w:hAnsi="Times New Roman"/>
          <w:b/>
        </w:rPr>
        <w:t xml:space="preserve">        </w:t>
      </w:r>
      <w:r w:rsidR="00A66784" w:rsidRPr="0044401A">
        <w:rPr>
          <w:rFonts w:ascii="Times New Roman" w:hAnsi="Times New Roman"/>
          <w:b/>
          <w:sz w:val="28"/>
          <w:szCs w:val="28"/>
        </w:rPr>
        <w:t>Income</w:t>
      </w:r>
      <w:r w:rsidRPr="0044401A">
        <w:rPr>
          <w:rFonts w:ascii="Times New Roman" w:hAnsi="Times New Roman"/>
          <w:b/>
          <w:sz w:val="28"/>
          <w:szCs w:val="28"/>
        </w:rPr>
        <w:t xml:space="preserve"> </w:t>
      </w:r>
      <w:r w:rsidR="00A66784" w:rsidRPr="0044401A">
        <w:rPr>
          <w:rFonts w:ascii="Times New Roman" w:hAnsi="Times New Roman"/>
          <w:b/>
          <w:sz w:val="28"/>
          <w:szCs w:val="28"/>
        </w:rPr>
        <w:t>over</w:t>
      </w:r>
      <w:r w:rsidRPr="0044401A">
        <w:rPr>
          <w:rFonts w:ascii="Times New Roman" w:hAnsi="Times New Roman"/>
          <w:b/>
          <w:sz w:val="28"/>
          <w:szCs w:val="28"/>
        </w:rPr>
        <w:t xml:space="preserve"> Feed Cost</w:t>
      </w:r>
    </w:p>
    <w:p w:rsidR="006B6EFE" w:rsidRPr="0044401A" w:rsidRDefault="006B6EFE" w:rsidP="0044401A">
      <w:pPr>
        <w:spacing w:after="0" w:line="240" w:lineRule="auto"/>
        <w:ind w:left="1440"/>
        <w:rPr>
          <w:rFonts w:ascii="Times New Roman" w:hAnsi="Times New Roman"/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44401A">
        <w:rPr>
          <w:rFonts w:ascii="Times New Roman" w:hAnsi="Times New Roman"/>
          <w:b/>
          <w:sz w:val="28"/>
          <w:szCs w:val="28"/>
        </w:rPr>
        <w:t>And</w:t>
      </w:r>
    </w:p>
    <w:p w:rsidR="006B6EFE" w:rsidRPr="0044401A" w:rsidRDefault="006B6EFE" w:rsidP="008B52CB">
      <w:pPr>
        <w:spacing w:line="240" w:lineRule="auto"/>
        <w:ind w:left="1440"/>
        <w:rPr>
          <w:rFonts w:ascii="Times New Roman" w:hAnsi="Times New Roman"/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44401A">
        <w:rPr>
          <w:rFonts w:ascii="Times New Roman" w:hAnsi="Times New Roman"/>
          <w:b/>
          <w:sz w:val="28"/>
          <w:szCs w:val="28"/>
        </w:rPr>
        <w:t xml:space="preserve">Feed Cost </w:t>
      </w:r>
      <w:r w:rsidR="00A66784" w:rsidRPr="0044401A">
        <w:rPr>
          <w:rFonts w:ascii="Times New Roman" w:hAnsi="Times New Roman"/>
          <w:b/>
          <w:sz w:val="28"/>
          <w:szCs w:val="28"/>
        </w:rPr>
        <w:t>per</w:t>
      </w:r>
      <w:r w:rsidR="00550938" w:rsidRPr="0044401A">
        <w:rPr>
          <w:rFonts w:ascii="Times New Roman" w:hAnsi="Times New Roman"/>
          <w:b/>
          <w:sz w:val="28"/>
          <w:szCs w:val="28"/>
        </w:rPr>
        <w:t xml:space="preserve"> Dollar of</w:t>
      </w:r>
      <w:r w:rsidRPr="0044401A">
        <w:rPr>
          <w:rFonts w:ascii="Times New Roman" w:hAnsi="Times New Roman"/>
          <w:b/>
          <w:sz w:val="28"/>
          <w:szCs w:val="28"/>
        </w:rPr>
        <w:t xml:space="preserve"> Milk </w:t>
      </w:r>
      <w:r w:rsidR="00550938" w:rsidRPr="0044401A">
        <w:rPr>
          <w:rFonts w:ascii="Times New Roman" w:hAnsi="Times New Roman"/>
          <w:b/>
          <w:sz w:val="28"/>
          <w:szCs w:val="28"/>
        </w:rPr>
        <w:t>I</w:t>
      </w:r>
      <w:r w:rsidRPr="0044401A">
        <w:rPr>
          <w:rFonts w:ascii="Times New Roman" w:hAnsi="Times New Roman"/>
          <w:b/>
          <w:sz w:val="28"/>
          <w:szCs w:val="28"/>
        </w:rPr>
        <w:t>ncome</w:t>
      </w:r>
    </w:p>
    <w:p w:rsidR="00900BBC" w:rsidRPr="0044401A" w:rsidRDefault="00900BBC" w:rsidP="0044401A">
      <w:pPr>
        <w:spacing w:after="0" w:line="240" w:lineRule="auto"/>
        <w:ind w:left="1440"/>
        <w:rPr>
          <w:rFonts w:ascii="Times New Roman" w:hAnsi="Times New Roman"/>
          <w:b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44401A">
        <w:rPr>
          <w:rFonts w:ascii="Times New Roman" w:hAnsi="Times New Roman"/>
          <w:b/>
        </w:rPr>
        <w:t>22,000 lb Production</w:t>
      </w:r>
    </w:p>
    <w:p w:rsidR="008B52CB" w:rsidRPr="0044401A" w:rsidRDefault="00D83E4B" w:rsidP="00075E64">
      <w:pPr>
        <w:spacing w:line="240" w:lineRule="auto"/>
        <w:ind w:left="2160" w:firstLine="720"/>
        <w:rPr>
          <w:rFonts w:ascii="Times New Roman" w:hAnsi="Times New Roman"/>
          <w:noProof/>
        </w:rPr>
      </w:pPr>
      <w:r w:rsidRPr="0044401A">
        <w:rPr>
          <w:rFonts w:ascii="Times New Roman" w:hAnsi="Times New Roman"/>
          <w:b/>
        </w:rPr>
        <w:t>201</w:t>
      </w:r>
      <w:r w:rsidR="001223FC" w:rsidRPr="0044401A">
        <w:rPr>
          <w:rFonts w:ascii="Times New Roman" w:hAnsi="Times New Roman"/>
          <w:b/>
        </w:rPr>
        <w:t>1</w:t>
      </w:r>
      <w:r w:rsidR="00EC02B8" w:rsidRPr="0044401A">
        <w:rPr>
          <w:rFonts w:ascii="Times New Roman" w:hAnsi="Times New Roman"/>
          <w:b/>
        </w:rPr>
        <w:t>- 2012</w:t>
      </w:r>
      <w:r w:rsidR="008B52CB" w:rsidRPr="0044401A">
        <w:rPr>
          <w:rFonts w:ascii="Times New Roman" w:hAnsi="Times New Roman"/>
          <w:b/>
        </w:rPr>
        <w:t xml:space="preserve"> Monthly </w:t>
      </w:r>
      <w:r w:rsidR="00FA0BCF" w:rsidRPr="0044401A">
        <w:rPr>
          <w:rFonts w:ascii="Times New Roman" w:hAnsi="Times New Roman"/>
          <w:b/>
        </w:rPr>
        <w:t>Trends</w:t>
      </w:r>
    </w:p>
    <w:p w:rsidR="00737421" w:rsidRDefault="00737421" w:rsidP="00B8020C">
      <w:pPr>
        <w:spacing w:line="240" w:lineRule="auto"/>
        <w:jc w:val="both"/>
        <w:rPr>
          <w:rFonts w:ascii="Times New Roman" w:hAnsi="Times New Roman"/>
          <w:noProof/>
        </w:rPr>
      </w:pPr>
    </w:p>
    <w:p w:rsidR="00BA5477" w:rsidRDefault="00474F77" w:rsidP="00B8020C">
      <w:pPr>
        <w:spacing w:line="240" w:lineRule="auto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5718810" cy="3394075"/>
            <wp:effectExtent l="0" t="0" r="15240" b="15875"/>
            <wp:docPr id="1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A5477" w:rsidRDefault="00BA5477" w:rsidP="00B8020C">
      <w:pPr>
        <w:spacing w:line="240" w:lineRule="auto"/>
        <w:jc w:val="both"/>
        <w:rPr>
          <w:rFonts w:ascii="Times New Roman" w:hAnsi="Times New Roman"/>
          <w:noProof/>
        </w:rPr>
      </w:pPr>
    </w:p>
    <w:p w:rsidR="00BA5477" w:rsidRDefault="00BA5477" w:rsidP="00B8020C">
      <w:pPr>
        <w:spacing w:line="240" w:lineRule="auto"/>
        <w:jc w:val="both"/>
        <w:rPr>
          <w:rFonts w:ascii="Times New Roman" w:hAnsi="Times New Roman"/>
          <w:noProof/>
        </w:rPr>
      </w:pPr>
    </w:p>
    <w:p w:rsidR="00BA5477" w:rsidRDefault="00BA5477" w:rsidP="00B8020C">
      <w:pPr>
        <w:spacing w:line="240" w:lineRule="auto"/>
        <w:jc w:val="both"/>
        <w:rPr>
          <w:rFonts w:ascii="Times New Roman" w:hAnsi="Times New Roman"/>
          <w:noProof/>
        </w:rPr>
      </w:pPr>
    </w:p>
    <w:p w:rsidR="00BA5477" w:rsidRDefault="00BA5477" w:rsidP="00B8020C">
      <w:pPr>
        <w:spacing w:line="240" w:lineRule="auto"/>
        <w:jc w:val="both"/>
        <w:rPr>
          <w:rFonts w:ascii="Times New Roman" w:hAnsi="Times New Roman"/>
          <w:noProof/>
        </w:rPr>
      </w:pPr>
    </w:p>
    <w:p w:rsidR="00BA5477" w:rsidRDefault="00BA5477" w:rsidP="00B8020C">
      <w:pPr>
        <w:spacing w:line="240" w:lineRule="auto"/>
        <w:jc w:val="both"/>
        <w:rPr>
          <w:rFonts w:ascii="Times New Roman" w:hAnsi="Times New Roman"/>
          <w:noProof/>
        </w:rPr>
      </w:pPr>
    </w:p>
    <w:p w:rsidR="00BA5477" w:rsidRDefault="00BA5477" w:rsidP="00B8020C">
      <w:pPr>
        <w:spacing w:line="240" w:lineRule="auto"/>
        <w:jc w:val="both"/>
        <w:rPr>
          <w:rFonts w:ascii="Times New Roman" w:hAnsi="Times New Roman"/>
          <w:noProof/>
        </w:rPr>
      </w:pPr>
    </w:p>
    <w:p w:rsidR="00BA5477" w:rsidRDefault="00BA5477" w:rsidP="00B8020C">
      <w:pPr>
        <w:spacing w:line="240" w:lineRule="auto"/>
        <w:jc w:val="both"/>
        <w:rPr>
          <w:rFonts w:ascii="Times New Roman" w:hAnsi="Times New Roman"/>
          <w:noProof/>
        </w:rPr>
      </w:pPr>
    </w:p>
    <w:p w:rsidR="00BA5477" w:rsidRDefault="00BA5477" w:rsidP="00B8020C">
      <w:pPr>
        <w:spacing w:line="240" w:lineRule="auto"/>
        <w:jc w:val="both"/>
        <w:rPr>
          <w:rFonts w:ascii="Times New Roman" w:hAnsi="Times New Roman"/>
          <w:noProof/>
        </w:rPr>
      </w:pPr>
    </w:p>
    <w:p w:rsidR="00BA5477" w:rsidRDefault="00BA5477" w:rsidP="00B8020C">
      <w:pPr>
        <w:spacing w:line="240" w:lineRule="auto"/>
        <w:jc w:val="both"/>
        <w:rPr>
          <w:rFonts w:ascii="Times New Roman" w:hAnsi="Times New Roman"/>
          <w:noProof/>
        </w:rPr>
      </w:pPr>
    </w:p>
    <w:p w:rsidR="00BA5477" w:rsidRDefault="00BA5477" w:rsidP="00B8020C">
      <w:pPr>
        <w:spacing w:line="240" w:lineRule="auto"/>
        <w:jc w:val="both"/>
        <w:rPr>
          <w:rFonts w:ascii="Times New Roman" w:hAnsi="Times New Roman"/>
          <w:noProof/>
        </w:rPr>
      </w:pPr>
    </w:p>
    <w:p w:rsidR="00BA5477" w:rsidRPr="0044401A" w:rsidRDefault="00BA5477" w:rsidP="00BA5477">
      <w:pPr>
        <w:spacing w:after="0" w:line="240" w:lineRule="auto"/>
        <w:ind w:left="1440" w:firstLine="720"/>
        <w:jc w:val="both"/>
        <w:rPr>
          <w:rFonts w:ascii="Times New Roman" w:hAnsi="Times New Roman"/>
          <w:b/>
          <w:noProof/>
          <w:sz w:val="28"/>
          <w:szCs w:val="28"/>
        </w:rPr>
      </w:pPr>
      <w:r w:rsidRPr="0044401A">
        <w:rPr>
          <w:rFonts w:ascii="Times New Roman" w:hAnsi="Times New Roman"/>
          <w:b/>
          <w:noProof/>
          <w:sz w:val="28"/>
          <w:szCs w:val="28"/>
        </w:rPr>
        <w:lastRenderedPageBreak/>
        <w:t xml:space="preserve">Wisconsin Calculated IOFC </w:t>
      </w:r>
    </w:p>
    <w:p w:rsidR="00BA5477" w:rsidRPr="0044401A" w:rsidRDefault="0044401A" w:rsidP="00BA5477">
      <w:pPr>
        <w:spacing w:line="240" w:lineRule="auto"/>
        <w:ind w:left="1440" w:firstLine="720"/>
        <w:jc w:val="both"/>
        <w:rPr>
          <w:rFonts w:ascii="Times New Roman" w:hAnsi="Times New Roman"/>
          <w:b/>
          <w:noProof/>
        </w:rPr>
      </w:pPr>
      <w:r>
        <w:rPr>
          <w:rFonts w:ascii="Times New Roman" w:hAnsi="Times New Roman"/>
          <w:b/>
          <w:noProof/>
        </w:rPr>
        <w:t>@22,000 lb. milk/cow/y</w:t>
      </w:r>
      <w:r w:rsidR="00BA5477" w:rsidRPr="0044401A">
        <w:rPr>
          <w:rFonts w:ascii="Times New Roman" w:hAnsi="Times New Roman"/>
          <w:b/>
          <w:noProof/>
        </w:rPr>
        <w:t>ear marketed</w:t>
      </w:r>
    </w:p>
    <w:p w:rsidR="00BA5477" w:rsidRDefault="00474F77" w:rsidP="00B8020C">
      <w:pPr>
        <w:spacing w:line="240" w:lineRule="auto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5944235" cy="3870325"/>
            <wp:effectExtent l="0" t="0" r="18415" b="15875"/>
            <wp:docPr id="2" name="Chart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A5477" w:rsidRPr="0044401A" w:rsidRDefault="00BA5477" w:rsidP="00BA5477">
      <w:pPr>
        <w:jc w:val="both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44401A">
        <w:rPr>
          <w:rFonts w:ascii="Times New Roman" w:eastAsia="Times New Roman" w:hAnsi="Times New Roman"/>
          <w:b/>
          <w:color w:val="000000"/>
        </w:rPr>
        <w:t>February 2009- Present</w:t>
      </w:r>
    </w:p>
    <w:p w:rsidR="00BA5477" w:rsidRDefault="00BA5477" w:rsidP="00B8020C">
      <w:pPr>
        <w:spacing w:line="240" w:lineRule="auto"/>
        <w:jc w:val="both"/>
        <w:rPr>
          <w:rFonts w:ascii="Times New Roman" w:hAnsi="Times New Roman"/>
        </w:rPr>
      </w:pPr>
    </w:p>
    <w:p w:rsidR="00B81708" w:rsidRDefault="00B81708" w:rsidP="00B8020C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Ken Bolton, </w:t>
      </w:r>
      <w:hyperlink r:id="rId11" w:history="1">
        <w:r w:rsidRPr="00A57159">
          <w:rPr>
            <w:rStyle w:val="Hyperlink"/>
            <w:rFonts w:ascii="Times New Roman" w:hAnsi="Times New Roman"/>
          </w:rPr>
          <w:t>kenneth.bolton@ces.uwex.edu</w:t>
        </w:r>
      </w:hyperlink>
      <w:r w:rsidR="000B492E">
        <w:rPr>
          <w:rFonts w:ascii="Times New Roman" w:hAnsi="Times New Roman"/>
        </w:rPr>
        <w:t xml:space="preserve">, UW-Extension, Center </w:t>
      </w:r>
      <w:r w:rsidR="00C7142A">
        <w:rPr>
          <w:rFonts w:ascii="Times New Roman" w:hAnsi="Times New Roman"/>
        </w:rPr>
        <w:t>for</w:t>
      </w:r>
      <w:r w:rsidR="000B492E">
        <w:rPr>
          <w:rFonts w:ascii="Times New Roman" w:hAnsi="Times New Roman"/>
        </w:rPr>
        <w:t xml:space="preserve"> Dairy Profitability</w:t>
      </w:r>
    </w:p>
    <w:sectPr w:rsidR="00B81708" w:rsidSect="004B70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37287"/>
    <w:multiLevelType w:val="hybridMultilevel"/>
    <w:tmpl w:val="18E68834"/>
    <w:lvl w:ilvl="0" w:tplc="DE1EA37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EE5039"/>
    <w:multiLevelType w:val="hybridMultilevel"/>
    <w:tmpl w:val="24505D4C"/>
    <w:lvl w:ilvl="0" w:tplc="409E5A8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20C"/>
    <w:rsid w:val="000001F5"/>
    <w:rsid w:val="000127B2"/>
    <w:rsid w:val="00022F47"/>
    <w:rsid w:val="00035A45"/>
    <w:rsid w:val="00044D6B"/>
    <w:rsid w:val="000450F8"/>
    <w:rsid w:val="00045120"/>
    <w:rsid w:val="00052009"/>
    <w:rsid w:val="00066B91"/>
    <w:rsid w:val="00070E4F"/>
    <w:rsid w:val="000725A8"/>
    <w:rsid w:val="00075E64"/>
    <w:rsid w:val="000846A0"/>
    <w:rsid w:val="000945C3"/>
    <w:rsid w:val="00097926"/>
    <w:rsid w:val="00097E11"/>
    <w:rsid w:val="000A1CFE"/>
    <w:rsid w:val="000A225F"/>
    <w:rsid w:val="000A3568"/>
    <w:rsid w:val="000B3621"/>
    <w:rsid w:val="000B492E"/>
    <w:rsid w:val="000C1721"/>
    <w:rsid w:val="000C1730"/>
    <w:rsid w:val="000D5330"/>
    <w:rsid w:val="000D732C"/>
    <w:rsid w:val="000E34DB"/>
    <w:rsid w:val="000F0C7E"/>
    <w:rsid w:val="000F6A8E"/>
    <w:rsid w:val="000F6FA7"/>
    <w:rsid w:val="00103A02"/>
    <w:rsid w:val="00107838"/>
    <w:rsid w:val="001223FC"/>
    <w:rsid w:val="00123B9B"/>
    <w:rsid w:val="00131405"/>
    <w:rsid w:val="0013487E"/>
    <w:rsid w:val="001358FB"/>
    <w:rsid w:val="00140572"/>
    <w:rsid w:val="0014644C"/>
    <w:rsid w:val="00151785"/>
    <w:rsid w:val="00153EE0"/>
    <w:rsid w:val="00154DC6"/>
    <w:rsid w:val="0015614D"/>
    <w:rsid w:val="001709D2"/>
    <w:rsid w:val="00172168"/>
    <w:rsid w:val="00185A77"/>
    <w:rsid w:val="00193FED"/>
    <w:rsid w:val="001A0D1A"/>
    <w:rsid w:val="001B7757"/>
    <w:rsid w:val="001C07BF"/>
    <w:rsid w:val="001C4E52"/>
    <w:rsid w:val="001D158E"/>
    <w:rsid w:val="001D6444"/>
    <w:rsid w:val="001E1B96"/>
    <w:rsid w:val="001E7358"/>
    <w:rsid w:val="001F7439"/>
    <w:rsid w:val="0020748B"/>
    <w:rsid w:val="00210745"/>
    <w:rsid w:val="00211A5B"/>
    <w:rsid w:val="00217009"/>
    <w:rsid w:val="002268DB"/>
    <w:rsid w:val="00230B46"/>
    <w:rsid w:val="00232D07"/>
    <w:rsid w:val="002368D9"/>
    <w:rsid w:val="0024009B"/>
    <w:rsid w:val="002402CB"/>
    <w:rsid w:val="00242CD0"/>
    <w:rsid w:val="00250F75"/>
    <w:rsid w:val="00251D9F"/>
    <w:rsid w:val="0025336F"/>
    <w:rsid w:val="00256B07"/>
    <w:rsid w:val="00256F7A"/>
    <w:rsid w:val="00260418"/>
    <w:rsid w:val="00267829"/>
    <w:rsid w:val="0028108A"/>
    <w:rsid w:val="00290D38"/>
    <w:rsid w:val="00293605"/>
    <w:rsid w:val="0029688E"/>
    <w:rsid w:val="002A1490"/>
    <w:rsid w:val="002A1FB0"/>
    <w:rsid w:val="002B01CF"/>
    <w:rsid w:val="002B38C9"/>
    <w:rsid w:val="002D42F5"/>
    <w:rsid w:val="002D618B"/>
    <w:rsid w:val="002E0CD8"/>
    <w:rsid w:val="002E32F9"/>
    <w:rsid w:val="002E3DAA"/>
    <w:rsid w:val="003010C1"/>
    <w:rsid w:val="00302791"/>
    <w:rsid w:val="00316472"/>
    <w:rsid w:val="00316A47"/>
    <w:rsid w:val="00317634"/>
    <w:rsid w:val="00325117"/>
    <w:rsid w:val="003252E8"/>
    <w:rsid w:val="003355A7"/>
    <w:rsid w:val="003502BA"/>
    <w:rsid w:val="00350BA1"/>
    <w:rsid w:val="003556FE"/>
    <w:rsid w:val="00357F35"/>
    <w:rsid w:val="00365FEC"/>
    <w:rsid w:val="003900E8"/>
    <w:rsid w:val="00390A5E"/>
    <w:rsid w:val="003A2A34"/>
    <w:rsid w:val="003A5784"/>
    <w:rsid w:val="003B3154"/>
    <w:rsid w:val="003D14EA"/>
    <w:rsid w:val="003D2450"/>
    <w:rsid w:val="003D6F7E"/>
    <w:rsid w:val="003D7AAF"/>
    <w:rsid w:val="003E0771"/>
    <w:rsid w:val="003E4EE6"/>
    <w:rsid w:val="003F25DE"/>
    <w:rsid w:val="00411368"/>
    <w:rsid w:val="004164D2"/>
    <w:rsid w:val="00416C25"/>
    <w:rsid w:val="00423AD3"/>
    <w:rsid w:val="004247D9"/>
    <w:rsid w:val="00425B18"/>
    <w:rsid w:val="004266CC"/>
    <w:rsid w:val="0042732A"/>
    <w:rsid w:val="00430C0F"/>
    <w:rsid w:val="004311D2"/>
    <w:rsid w:val="00435F4C"/>
    <w:rsid w:val="00436720"/>
    <w:rsid w:val="0044401A"/>
    <w:rsid w:val="00444FAD"/>
    <w:rsid w:val="00464392"/>
    <w:rsid w:val="00474F77"/>
    <w:rsid w:val="00480027"/>
    <w:rsid w:val="00481F5F"/>
    <w:rsid w:val="004824FB"/>
    <w:rsid w:val="00494183"/>
    <w:rsid w:val="0049764A"/>
    <w:rsid w:val="004976E6"/>
    <w:rsid w:val="004A0CDF"/>
    <w:rsid w:val="004A1852"/>
    <w:rsid w:val="004A7F97"/>
    <w:rsid w:val="004B18DC"/>
    <w:rsid w:val="004B7019"/>
    <w:rsid w:val="004C4A66"/>
    <w:rsid w:val="004C63AF"/>
    <w:rsid w:val="004C669E"/>
    <w:rsid w:val="004D075B"/>
    <w:rsid w:val="004E3A09"/>
    <w:rsid w:val="004F2AFD"/>
    <w:rsid w:val="004F3DD3"/>
    <w:rsid w:val="00502AFD"/>
    <w:rsid w:val="0050398A"/>
    <w:rsid w:val="00514139"/>
    <w:rsid w:val="0051483C"/>
    <w:rsid w:val="005177AF"/>
    <w:rsid w:val="00521AF8"/>
    <w:rsid w:val="00526D9F"/>
    <w:rsid w:val="00533136"/>
    <w:rsid w:val="00533139"/>
    <w:rsid w:val="00533D56"/>
    <w:rsid w:val="00536DFB"/>
    <w:rsid w:val="0054471E"/>
    <w:rsid w:val="00544893"/>
    <w:rsid w:val="005502D0"/>
    <w:rsid w:val="00550938"/>
    <w:rsid w:val="00553452"/>
    <w:rsid w:val="005534FE"/>
    <w:rsid w:val="005549A3"/>
    <w:rsid w:val="005562E8"/>
    <w:rsid w:val="005650AC"/>
    <w:rsid w:val="0056661C"/>
    <w:rsid w:val="0057426C"/>
    <w:rsid w:val="005820FC"/>
    <w:rsid w:val="005971B9"/>
    <w:rsid w:val="005A138F"/>
    <w:rsid w:val="005A279D"/>
    <w:rsid w:val="005A4A68"/>
    <w:rsid w:val="005A6ED7"/>
    <w:rsid w:val="005C58C1"/>
    <w:rsid w:val="005E0ADC"/>
    <w:rsid w:val="005E4741"/>
    <w:rsid w:val="005F12E8"/>
    <w:rsid w:val="005F15EE"/>
    <w:rsid w:val="0060480F"/>
    <w:rsid w:val="00605078"/>
    <w:rsid w:val="00614B21"/>
    <w:rsid w:val="00615268"/>
    <w:rsid w:val="006155D1"/>
    <w:rsid w:val="00617503"/>
    <w:rsid w:val="0062040A"/>
    <w:rsid w:val="00620E65"/>
    <w:rsid w:val="00627F09"/>
    <w:rsid w:val="00632A0A"/>
    <w:rsid w:val="00644FE0"/>
    <w:rsid w:val="00650563"/>
    <w:rsid w:val="00662812"/>
    <w:rsid w:val="006660CC"/>
    <w:rsid w:val="00670EE9"/>
    <w:rsid w:val="00677B6F"/>
    <w:rsid w:val="00693FCE"/>
    <w:rsid w:val="006A7086"/>
    <w:rsid w:val="006B2728"/>
    <w:rsid w:val="006B6EFE"/>
    <w:rsid w:val="006C353A"/>
    <w:rsid w:val="006C6B0B"/>
    <w:rsid w:val="006D575C"/>
    <w:rsid w:val="006F6177"/>
    <w:rsid w:val="006F6B7C"/>
    <w:rsid w:val="00701C44"/>
    <w:rsid w:val="0070635C"/>
    <w:rsid w:val="00711F3C"/>
    <w:rsid w:val="007124F5"/>
    <w:rsid w:val="007139AC"/>
    <w:rsid w:val="00727995"/>
    <w:rsid w:val="007300ED"/>
    <w:rsid w:val="0073080A"/>
    <w:rsid w:val="00737421"/>
    <w:rsid w:val="00745A73"/>
    <w:rsid w:val="00747E2F"/>
    <w:rsid w:val="00770F9B"/>
    <w:rsid w:val="00775E3B"/>
    <w:rsid w:val="00784C40"/>
    <w:rsid w:val="007935A9"/>
    <w:rsid w:val="00795F2E"/>
    <w:rsid w:val="007A1D82"/>
    <w:rsid w:val="007A1DD3"/>
    <w:rsid w:val="007A4456"/>
    <w:rsid w:val="007A52E9"/>
    <w:rsid w:val="007A6C76"/>
    <w:rsid w:val="007C5915"/>
    <w:rsid w:val="007D7803"/>
    <w:rsid w:val="007E3AC7"/>
    <w:rsid w:val="007E465D"/>
    <w:rsid w:val="007F4C95"/>
    <w:rsid w:val="008069AC"/>
    <w:rsid w:val="008074A8"/>
    <w:rsid w:val="008222CA"/>
    <w:rsid w:val="00822E72"/>
    <w:rsid w:val="00826D68"/>
    <w:rsid w:val="00827B9F"/>
    <w:rsid w:val="00830733"/>
    <w:rsid w:val="00843B8D"/>
    <w:rsid w:val="00844910"/>
    <w:rsid w:val="00844AEB"/>
    <w:rsid w:val="00847CD3"/>
    <w:rsid w:val="00850CF8"/>
    <w:rsid w:val="00850D99"/>
    <w:rsid w:val="00857504"/>
    <w:rsid w:val="0086484B"/>
    <w:rsid w:val="008701E5"/>
    <w:rsid w:val="00871DE5"/>
    <w:rsid w:val="00886E3B"/>
    <w:rsid w:val="00887647"/>
    <w:rsid w:val="008A3B5D"/>
    <w:rsid w:val="008A595B"/>
    <w:rsid w:val="008B302E"/>
    <w:rsid w:val="008B52CB"/>
    <w:rsid w:val="008B7B99"/>
    <w:rsid w:val="008C41E7"/>
    <w:rsid w:val="008C6117"/>
    <w:rsid w:val="008F3521"/>
    <w:rsid w:val="008F3C13"/>
    <w:rsid w:val="008F5286"/>
    <w:rsid w:val="00900BBC"/>
    <w:rsid w:val="009066AA"/>
    <w:rsid w:val="00907ABE"/>
    <w:rsid w:val="009118E6"/>
    <w:rsid w:val="00916E5D"/>
    <w:rsid w:val="00917429"/>
    <w:rsid w:val="009225C7"/>
    <w:rsid w:val="0092688F"/>
    <w:rsid w:val="00934D2A"/>
    <w:rsid w:val="00934F5C"/>
    <w:rsid w:val="00936AF2"/>
    <w:rsid w:val="00941593"/>
    <w:rsid w:val="009449E9"/>
    <w:rsid w:val="00946D44"/>
    <w:rsid w:val="00957BC1"/>
    <w:rsid w:val="00957C6F"/>
    <w:rsid w:val="0097050C"/>
    <w:rsid w:val="009743CE"/>
    <w:rsid w:val="00975A28"/>
    <w:rsid w:val="009943FF"/>
    <w:rsid w:val="00995B87"/>
    <w:rsid w:val="009A7DA7"/>
    <w:rsid w:val="009B1E87"/>
    <w:rsid w:val="009C001E"/>
    <w:rsid w:val="009C150F"/>
    <w:rsid w:val="009C415C"/>
    <w:rsid w:val="009E227C"/>
    <w:rsid w:val="00A04367"/>
    <w:rsid w:val="00A04D7E"/>
    <w:rsid w:val="00A14DB4"/>
    <w:rsid w:val="00A2352F"/>
    <w:rsid w:val="00A24CCF"/>
    <w:rsid w:val="00A25803"/>
    <w:rsid w:val="00A30F15"/>
    <w:rsid w:val="00A34F70"/>
    <w:rsid w:val="00A35251"/>
    <w:rsid w:val="00A37511"/>
    <w:rsid w:val="00A43128"/>
    <w:rsid w:val="00A47842"/>
    <w:rsid w:val="00A6253A"/>
    <w:rsid w:val="00A639C6"/>
    <w:rsid w:val="00A66784"/>
    <w:rsid w:val="00A711E2"/>
    <w:rsid w:val="00A72166"/>
    <w:rsid w:val="00A748FB"/>
    <w:rsid w:val="00A755A1"/>
    <w:rsid w:val="00A769DA"/>
    <w:rsid w:val="00A8093F"/>
    <w:rsid w:val="00A8402B"/>
    <w:rsid w:val="00A84C57"/>
    <w:rsid w:val="00A86A8A"/>
    <w:rsid w:val="00AA2943"/>
    <w:rsid w:val="00AA7D82"/>
    <w:rsid w:val="00AB09D2"/>
    <w:rsid w:val="00AB28AD"/>
    <w:rsid w:val="00AB34E8"/>
    <w:rsid w:val="00AB6A43"/>
    <w:rsid w:val="00AC04B2"/>
    <w:rsid w:val="00AC194B"/>
    <w:rsid w:val="00AC1F38"/>
    <w:rsid w:val="00AC6991"/>
    <w:rsid w:val="00AD2C8A"/>
    <w:rsid w:val="00AD4B84"/>
    <w:rsid w:val="00AD7EDA"/>
    <w:rsid w:val="00AE0C67"/>
    <w:rsid w:val="00AE3773"/>
    <w:rsid w:val="00AE3CEF"/>
    <w:rsid w:val="00AE7578"/>
    <w:rsid w:val="00B11489"/>
    <w:rsid w:val="00B13655"/>
    <w:rsid w:val="00B149F9"/>
    <w:rsid w:val="00B31215"/>
    <w:rsid w:val="00B51CA9"/>
    <w:rsid w:val="00B602BB"/>
    <w:rsid w:val="00B63716"/>
    <w:rsid w:val="00B72E49"/>
    <w:rsid w:val="00B8020C"/>
    <w:rsid w:val="00B81708"/>
    <w:rsid w:val="00B851D2"/>
    <w:rsid w:val="00B860BF"/>
    <w:rsid w:val="00B873EF"/>
    <w:rsid w:val="00B97CA5"/>
    <w:rsid w:val="00BA07D5"/>
    <w:rsid w:val="00BA139E"/>
    <w:rsid w:val="00BA5477"/>
    <w:rsid w:val="00BB30C9"/>
    <w:rsid w:val="00BB5585"/>
    <w:rsid w:val="00BC3B12"/>
    <w:rsid w:val="00BE38A6"/>
    <w:rsid w:val="00BE3DD2"/>
    <w:rsid w:val="00BF5A22"/>
    <w:rsid w:val="00C05432"/>
    <w:rsid w:val="00C10739"/>
    <w:rsid w:val="00C159AE"/>
    <w:rsid w:val="00C24951"/>
    <w:rsid w:val="00C373DB"/>
    <w:rsid w:val="00C41B9B"/>
    <w:rsid w:val="00C42A31"/>
    <w:rsid w:val="00C4483E"/>
    <w:rsid w:val="00C50C7F"/>
    <w:rsid w:val="00C7142A"/>
    <w:rsid w:val="00C75192"/>
    <w:rsid w:val="00C93885"/>
    <w:rsid w:val="00CB4694"/>
    <w:rsid w:val="00CC3066"/>
    <w:rsid w:val="00CC5B0C"/>
    <w:rsid w:val="00CD0E68"/>
    <w:rsid w:val="00CD287F"/>
    <w:rsid w:val="00CD327C"/>
    <w:rsid w:val="00CE1211"/>
    <w:rsid w:val="00CE36AC"/>
    <w:rsid w:val="00CE4FE3"/>
    <w:rsid w:val="00CE63ED"/>
    <w:rsid w:val="00CF05BC"/>
    <w:rsid w:val="00D05661"/>
    <w:rsid w:val="00D07C80"/>
    <w:rsid w:val="00D13C6B"/>
    <w:rsid w:val="00D15852"/>
    <w:rsid w:val="00D158A1"/>
    <w:rsid w:val="00D34379"/>
    <w:rsid w:val="00D348E6"/>
    <w:rsid w:val="00D37AE7"/>
    <w:rsid w:val="00D37BF0"/>
    <w:rsid w:val="00D43D73"/>
    <w:rsid w:val="00D46E61"/>
    <w:rsid w:val="00D5455F"/>
    <w:rsid w:val="00D56974"/>
    <w:rsid w:val="00D60E9F"/>
    <w:rsid w:val="00D76850"/>
    <w:rsid w:val="00D81DA3"/>
    <w:rsid w:val="00D8395C"/>
    <w:rsid w:val="00D83E4B"/>
    <w:rsid w:val="00D93FFF"/>
    <w:rsid w:val="00D962C0"/>
    <w:rsid w:val="00D976B8"/>
    <w:rsid w:val="00DA382E"/>
    <w:rsid w:val="00DB4603"/>
    <w:rsid w:val="00DB5370"/>
    <w:rsid w:val="00DB7A2B"/>
    <w:rsid w:val="00DC3098"/>
    <w:rsid w:val="00DC421F"/>
    <w:rsid w:val="00DC6BE7"/>
    <w:rsid w:val="00DF19CE"/>
    <w:rsid w:val="00DF2460"/>
    <w:rsid w:val="00E017D0"/>
    <w:rsid w:val="00E03994"/>
    <w:rsid w:val="00E058F2"/>
    <w:rsid w:val="00E05F32"/>
    <w:rsid w:val="00E11C05"/>
    <w:rsid w:val="00E15B09"/>
    <w:rsid w:val="00E160FA"/>
    <w:rsid w:val="00E21A86"/>
    <w:rsid w:val="00E222B4"/>
    <w:rsid w:val="00E2672C"/>
    <w:rsid w:val="00E32439"/>
    <w:rsid w:val="00E33DDD"/>
    <w:rsid w:val="00E371E4"/>
    <w:rsid w:val="00E372CB"/>
    <w:rsid w:val="00E4198E"/>
    <w:rsid w:val="00E5255E"/>
    <w:rsid w:val="00E54988"/>
    <w:rsid w:val="00E60189"/>
    <w:rsid w:val="00E65B55"/>
    <w:rsid w:val="00E71F28"/>
    <w:rsid w:val="00E73C45"/>
    <w:rsid w:val="00E74296"/>
    <w:rsid w:val="00E75480"/>
    <w:rsid w:val="00E8762C"/>
    <w:rsid w:val="00E87BCC"/>
    <w:rsid w:val="00E90C92"/>
    <w:rsid w:val="00E95F76"/>
    <w:rsid w:val="00EB0FDB"/>
    <w:rsid w:val="00EB3B76"/>
    <w:rsid w:val="00EB3FE2"/>
    <w:rsid w:val="00EC02B8"/>
    <w:rsid w:val="00EC59A2"/>
    <w:rsid w:val="00ED169A"/>
    <w:rsid w:val="00ED528C"/>
    <w:rsid w:val="00ED6F24"/>
    <w:rsid w:val="00EE232F"/>
    <w:rsid w:val="00EE2F87"/>
    <w:rsid w:val="00EE553C"/>
    <w:rsid w:val="00EF0450"/>
    <w:rsid w:val="00EF6112"/>
    <w:rsid w:val="00EF6895"/>
    <w:rsid w:val="00F00C52"/>
    <w:rsid w:val="00F01AF6"/>
    <w:rsid w:val="00F07DAE"/>
    <w:rsid w:val="00F212A9"/>
    <w:rsid w:val="00F22BE4"/>
    <w:rsid w:val="00F24C69"/>
    <w:rsid w:val="00F27C5B"/>
    <w:rsid w:val="00F32DDB"/>
    <w:rsid w:val="00F40F96"/>
    <w:rsid w:val="00F4336E"/>
    <w:rsid w:val="00F444B5"/>
    <w:rsid w:val="00F57498"/>
    <w:rsid w:val="00F62015"/>
    <w:rsid w:val="00F76796"/>
    <w:rsid w:val="00F833AA"/>
    <w:rsid w:val="00F84D23"/>
    <w:rsid w:val="00F866EA"/>
    <w:rsid w:val="00F91279"/>
    <w:rsid w:val="00F92827"/>
    <w:rsid w:val="00F95940"/>
    <w:rsid w:val="00FA0BCF"/>
    <w:rsid w:val="00FB6EF5"/>
    <w:rsid w:val="00FC7682"/>
    <w:rsid w:val="00FC774B"/>
    <w:rsid w:val="00FD1357"/>
    <w:rsid w:val="00FD306B"/>
    <w:rsid w:val="00FE219C"/>
    <w:rsid w:val="00FE3139"/>
    <w:rsid w:val="00FE429C"/>
    <w:rsid w:val="00FF12C5"/>
    <w:rsid w:val="00FF41F6"/>
    <w:rsid w:val="00FF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01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0C92"/>
    <w:rPr>
      <w:color w:val="0000FF"/>
      <w:u w:val="single"/>
    </w:rPr>
  </w:style>
  <w:style w:type="table" w:styleId="TableGrid">
    <w:name w:val="Table Grid"/>
    <w:basedOn w:val="TableNormal"/>
    <w:uiPriority w:val="59"/>
    <w:rsid w:val="00256F7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1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2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01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0C92"/>
    <w:rPr>
      <w:color w:val="0000FF"/>
      <w:u w:val="single"/>
    </w:rPr>
  </w:style>
  <w:style w:type="table" w:styleId="TableGrid">
    <w:name w:val="Table Grid"/>
    <w:basedOn w:val="TableNormal"/>
    <w:uiPriority w:val="59"/>
    <w:rsid w:val="00256F7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1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2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3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dp.wisc.edu/Welcome.ht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cdp.wisc.edu/Decision%20Making%20Tools.ht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uture.aae.wisc.edu/milc.html" TargetMode="External"/><Relationship Id="rId11" Type="http://schemas.openxmlformats.org/officeDocument/2006/relationships/hyperlink" Target="mailto:kenneth.bolton@ces.uwex.edu" TargetMode="Externa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kbolton\Documents\Excel%20Docs\Wis%20Calc%20COP%20TrendsII.xls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C:\Users\kbolton\Documents\Excel%20Docs\WISCCOPDataBaseWebSite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roundedCorners val="1"/>
  <c:style val="2"/>
  <c:chart>
    <c:title>
      <c:tx>
        <c:rich>
          <a:bodyPr/>
          <a:lstStyle/>
          <a:p>
            <a:pPr>
              <a:defRPr sz="1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en-US"/>
              <a:t>Wisc. Calculated COP Trends</a:t>
            </a:r>
          </a:p>
        </c:rich>
      </c:tx>
      <c:layout/>
      <c:overlay val="1"/>
    </c:title>
    <c:autoTitleDeleted val="0"/>
    <c:plotArea>
      <c:layout>
        <c:manualLayout>
          <c:layoutTarget val="inner"/>
          <c:xMode val="edge"/>
          <c:yMode val="edge"/>
          <c:x val="0.16664617927784153"/>
          <c:y val="0.15938469339059891"/>
          <c:w val="0.39010221712235743"/>
          <c:h val="0.68271444762586531"/>
        </c:manualLayout>
      </c:layout>
      <c:barChart>
        <c:barDir val="col"/>
        <c:grouping val="clustered"/>
        <c:varyColors val="1"/>
        <c:ser>
          <c:idx val="1"/>
          <c:order val="0"/>
          <c:tx>
            <c:v>Income Over Feed Cost</c:v>
          </c:tx>
          <c:invertIfNegative val="1"/>
          <c:cat>
            <c:strRef>
              <c:f>Sheet1!$J$6:$U$6</c:f>
              <c:strCache>
                <c:ptCount val="12"/>
                <c:pt idx="0">
                  <c:v>Dec</c:v>
                </c:pt>
                <c:pt idx="1">
                  <c:v>Jan</c:v>
                </c:pt>
                <c:pt idx="2">
                  <c:v>Feb</c:v>
                </c:pt>
                <c:pt idx="3">
                  <c:v>Mar</c:v>
                </c:pt>
                <c:pt idx="4">
                  <c:v>April</c:v>
                </c:pt>
                <c:pt idx="5">
                  <c:v>May</c:v>
                </c:pt>
                <c:pt idx="6">
                  <c:v>June</c:v>
                </c:pt>
                <c:pt idx="7">
                  <c:v>July</c:v>
                </c:pt>
                <c:pt idx="8">
                  <c:v>Aug</c:v>
                </c:pt>
                <c:pt idx="9">
                  <c:v>Sept</c:v>
                </c:pt>
                <c:pt idx="10">
                  <c:v>Oct</c:v>
                </c:pt>
                <c:pt idx="11">
                  <c:v>Nov</c:v>
                </c:pt>
              </c:strCache>
            </c:strRef>
          </c:cat>
          <c:val>
            <c:numRef>
              <c:f>Sheet1!$J$7:$U$7</c:f>
              <c:numCache>
                <c:formatCode>_("$"* #,##0.00_);_("$"* \(#,##0.00\);_("$"* "-"??_);_(@_)</c:formatCode>
                <c:ptCount val="12"/>
                <c:pt idx="0">
                  <c:v>12.56</c:v>
                </c:pt>
                <c:pt idx="1">
                  <c:v>10.36</c:v>
                </c:pt>
                <c:pt idx="2">
                  <c:v>9.27</c:v>
                </c:pt>
                <c:pt idx="3">
                  <c:v>8.66</c:v>
                </c:pt>
                <c:pt idx="4">
                  <c:v>8.25</c:v>
                </c:pt>
                <c:pt idx="5">
                  <c:v>7.57</c:v>
                </c:pt>
                <c:pt idx="6">
                  <c:v>7.95</c:v>
                </c:pt>
                <c:pt idx="7">
                  <c:v>7.27</c:v>
                </c:pt>
                <c:pt idx="8">
                  <c:v>8.1</c:v>
                </c:pt>
                <c:pt idx="9">
                  <c:v>9.43</c:v>
                </c:pt>
                <c:pt idx="10">
                  <c:v>12.59</c:v>
                </c:pt>
                <c:pt idx="11">
                  <c:v>12.56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3139328"/>
        <c:axId val="183325440"/>
      </c:barChart>
      <c:lineChart>
        <c:grouping val="standard"/>
        <c:varyColors val="1"/>
        <c:ser>
          <c:idx val="2"/>
          <c:order val="1"/>
          <c:tx>
            <c:v>Feed$/$ Milk Revenue</c:v>
          </c:tx>
          <c:marker>
            <c:symbol val="none"/>
          </c:marker>
          <c:cat>
            <c:numRef>
              <c:f>Sheet1!$B$16:$B$22</c:f>
              <c:numCache>
                <c:formatCode>General</c:formatCode>
                <c:ptCount val="7"/>
                <c:pt idx="0">
                  <c:v>12</c:v>
                </c:pt>
                <c:pt idx="1">
                  <c:v>10</c:v>
                </c:pt>
                <c:pt idx="2">
                  <c:v>8</c:v>
                </c:pt>
                <c:pt idx="3">
                  <c:v>6</c:v>
                </c:pt>
                <c:pt idx="4">
                  <c:v>4</c:v>
                </c:pt>
                <c:pt idx="5">
                  <c:v>2</c:v>
                </c:pt>
                <c:pt idx="6">
                  <c:v>0</c:v>
                </c:pt>
              </c:numCache>
            </c:numRef>
          </c:cat>
          <c:val>
            <c:numRef>
              <c:f>Sheet1!$J$8:$U$8</c:f>
              <c:numCache>
                <c:formatCode>_("$"* #,##0.00_);_("$"* \(#,##0.00\);_("$"* "-"??_);_(@_)</c:formatCode>
                <c:ptCount val="12"/>
                <c:pt idx="0">
                  <c:v>0.39</c:v>
                </c:pt>
                <c:pt idx="1">
                  <c:v>0.44</c:v>
                </c:pt>
                <c:pt idx="2">
                  <c:v>0.47</c:v>
                </c:pt>
                <c:pt idx="3">
                  <c:v>0.49</c:v>
                </c:pt>
                <c:pt idx="4">
                  <c:v>0.51</c:v>
                </c:pt>
                <c:pt idx="5">
                  <c:v>0.54</c:v>
                </c:pt>
                <c:pt idx="6">
                  <c:v>0.52</c:v>
                </c:pt>
                <c:pt idx="7">
                  <c:v>0.57999999999999996</c:v>
                </c:pt>
                <c:pt idx="8">
                  <c:v>0.56000000000000005</c:v>
                </c:pt>
                <c:pt idx="9">
                  <c:v>0.52</c:v>
                </c:pt>
                <c:pt idx="10">
                  <c:v>0.44</c:v>
                </c:pt>
                <c:pt idx="11">
                  <c:v>0.44</c:v>
                </c:pt>
              </c:numCache>
            </c:numRef>
          </c: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83327744"/>
        <c:axId val="183333632"/>
      </c:lineChart>
      <c:catAx>
        <c:axId val="183139328"/>
        <c:scaling>
          <c:orientation val="minMax"/>
        </c:scaling>
        <c:delete val="1"/>
        <c:axPos val="b"/>
        <c:numFmt formatCode="General" sourceLinked="1"/>
        <c:majorTickMark val="none"/>
        <c:minorTickMark val="cross"/>
        <c:tickLblPos val="nextTo"/>
        <c:crossAx val="183325440"/>
        <c:crosses val="autoZero"/>
        <c:auto val="1"/>
        <c:lblAlgn val="ctr"/>
        <c:lblOffset val="100"/>
        <c:tickLblSkip val="2"/>
        <c:noMultiLvlLbl val="1"/>
      </c:catAx>
      <c:valAx>
        <c:axId val="183325440"/>
        <c:scaling>
          <c:orientation val="minMax"/>
        </c:scaling>
        <c:delete val="1"/>
        <c:axPos val="l"/>
        <c:majorGridlines/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FF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en-US"/>
                  <a:t>Return Over Feed Cost</a:t>
                </a:r>
              </a:p>
            </c:rich>
          </c:tx>
          <c:layout/>
          <c:overlay val="1"/>
          <c:spPr>
            <a:noFill/>
          </c:spPr>
        </c:title>
        <c:numFmt formatCode="_(&quot;$&quot;* #,##0.00_);_(&quot;$&quot;* \(#,##0.00\);_(&quot;$&quot;* &quot;-&quot;??_);_(@_)" sourceLinked="1"/>
        <c:majorTickMark val="none"/>
        <c:minorTickMark val="cross"/>
        <c:tickLblPos val="nextTo"/>
        <c:crossAx val="183139328"/>
        <c:crosses val="autoZero"/>
        <c:crossBetween val="between"/>
      </c:valAx>
      <c:catAx>
        <c:axId val="183327744"/>
        <c:scaling>
          <c:orientation val="minMax"/>
        </c:scaling>
        <c:delete val="1"/>
        <c:axPos val="b"/>
        <c:numFmt formatCode="General" sourceLinked="1"/>
        <c:majorTickMark val="cross"/>
        <c:minorTickMark val="cross"/>
        <c:tickLblPos val="none"/>
        <c:crossAx val="183333632"/>
        <c:crosses val="autoZero"/>
        <c:auto val="1"/>
        <c:lblAlgn val="ctr"/>
        <c:lblOffset val="100"/>
        <c:noMultiLvlLbl val="1"/>
      </c:catAx>
      <c:valAx>
        <c:axId val="183333632"/>
        <c:scaling>
          <c:orientation val="minMax"/>
          <c:max val="1.5"/>
          <c:min val="0.05"/>
        </c:scaling>
        <c:delete val="1"/>
        <c:axPos val="r"/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99CC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en-US"/>
                  <a:t>Feed$/$Milk Revenue               
</a:t>
                </a:r>
              </a:p>
            </c:rich>
          </c:tx>
          <c:layout>
            <c:manualLayout>
              <c:xMode val="edge"/>
              <c:yMode val="edge"/>
              <c:x val="0.67020314960629923"/>
              <c:y val="0.3644333362824031"/>
            </c:manualLayout>
          </c:layout>
          <c:overlay val="1"/>
        </c:title>
        <c:numFmt formatCode="_(&quot;$&quot;* #,##0.00_);_(&quot;$&quot;* \(#,##0.00\);_(&quot;$&quot;* &quot;-&quot;??_);_(@_)" sourceLinked="1"/>
        <c:majorTickMark val="cross"/>
        <c:minorTickMark val="cross"/>
        <c:tickLblPos val="nextTo"/>
        <c:crossAx val="183327744"/>
        <c:crosses val="max"/>
        <c:crossBetween val="between"/>
      </c:valAx>
    </c:plotArea>
    <c:legend>
      <c:legendPos val="r"/>
      <c:layout/>
      <c:overlay val="1"/>
      <c:txPr>
        <a:bodyPr/>
        <a:lstStyle/>
        <a:p>
          <a:pPr>
            <a:defRPr sz="545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en-US"/>
        </a:p>
      </c:txPr>
    </c:legend>
    <c:plotVisOnly val="1"/>
    <c:dispBlanksAs val="gap"/>
    <c:showDLblsOverMax val="1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>
    <c:autoUpdate val="1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roundedCorners val="1"/>
  <c:style val="2"/>
  <c:chart>
    <c:autoTitleDeleted val="1"/>
    <c:plotArea>
      <c:layout>
        <c:manualLayout>
          <c:layoutTarget val="inner"/>
          <c:xMode val="edge"/>
          <c:yMode val="edge"/>
          <c:x val="0.16265908193715009"/>
          <c:y val="6.4386009505033939E-2"/>
          <c:w val="0.72851083827283869"/>
          <c:h val="0.84383434083873199"/>
        </c:manualLayout>
      </c:layout>
      <c:lineChart>
        <c:grouping val="standard"/>
        <c:varyColors val="1"/>
        <c:ser>
          <c:idx val="0"/>
          <c:order val="0"/>
          <c:tx>
            <c:strRef>
              <c:f>Sheet1!$A$8</c:f>
              <c:strCache>
                <c:ptCount val="1"/>
                <c:pt idx="0">
                  <c:v>2009</c:v>
                </c:pt>
              </c:strCache>
            </c:strRef>
          </c:tx>
          <c:marker>
            <c:symbol val="none"/>
          </c:marker>
          <c:dLbls>
            <c:dLbl>
              <c:idx val="0"/>
              <c:delete val="1"/>
            </c:dLbl>
            <c:dLbl>
              <c:idx val="1"/>
              <c:delete val="1"/>
            </c:dLbl>
            <c:dLbl>
              <c:idx val="2"/>
              <c:delete val="1"/>
            </c:dLbl>
            <c:dLbl>
              <c:idx val="3"/>
              <c:delete val="1"/>
            </c:dLbl>
            <c:dLbl>
              <c:idx val="4"/>
              <c:delete val="1"/>
            </c:dLbl>
            <c:dLbl>
              <c:idx val="5"/>
              <c:delete val="1"/>
            </c:dLbl>
            <c:dLbl>
              <c:idx val="6"/>
              <c:layout>
                <c:manualLayout>
                  <c:x val="-2.3515579071134631E-2"/>
                  <c:y val="3.051106025934401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 2009 </a:t>
                    </a:r>
                  </a:p>
                </c:rich>
              </c:tx>
              <c:dLblPos val="r"/>
              <c:showLegendKey val="1"/>
              <c:showVal val="1"/>
              <c:showCatName val="1"/>
              <c:showSerName val="1"/>
              <c:showPercent val="1"/>
              <c:showBubbleSize val="1"/>
            </c:dLbl>
            <c:dLbl>
              <c:idx val="7"/>
              <c:delete val="1"/>
            </c:dLbl>
            <c:dLbl>
              <c:idx val="8"/>
              <c:delete val="1"/>
            </c:dLbl>
            <c:dLbl>
              <c:idx val="9"/>
              <c:delete val="1"/>
            </c:dLbl>
            <c:dLbl>
              <c:idx val="10"/>
              <c:delete val="1"/>
            </c:dLbl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en-US"/>
              </a:p>
            </c:txPr>
            <c:showLegendKey val="1"/>
            <c:showVal val="1"/>
            <c:showCatName val="1"/>
            <c:showSerName val="1"/>
            <c:showPercent val="1"/>
            <c:showBubbleSize val="1"/>
            <c:showLeaderLines val="0"/>
          </c:dLbls>
          <c:cat>
            <c:strRef>
              <c:f>Sheet1!$B$8:$B$19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</c:v>
                </c:pt>
                <c:pt idx="8">
                  <c:v>Sept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Sheet1!$C$9:$C$19</c:f>
              <c:numCache>
                <c:formatCode>_("$"* #,##0.00_);_("$"* \(#,##0.00\);_("$"* "-"??_);_(@_)</c:formatCode>
                <c:ptCount val="11"/>
                <c:pt idx="0">
                  <c:v>4.72</c:v>
                </c:pt>
                <c:pt idx="1">
                  <c:v>6.23</c:v>
                </c:pt>
                <c:pt idx="2">
                  <c:v>4.79</c:v>
                </c:pt>
                <c:pt idx="3">
                  <c:v>4.5599999999999996</c:v>
                </c:pt>
                <c:pt idx="4">
                  <c:v>4.5</c:v>
                </c:pt>
                <c:pt idx="5">
                  <c:v>5.22</c:v>
                </c:pt>
                <c:pt idx="6">
                  <c:v>6.3</c:v>
                </c:pt>
                <c:pt idx="7">
                  <c:v>7.32</c:v>
                </c:pt>
                <c:pt idx="8">
                  <c:v>8.24</c:v>
                </c:pt>
                <c:pt idx="9">
                  <c:v>9.68</c:v>
                </c:pt>
                <c:pt idx="10">
                  <c:v>10.4</c:v>
                </c:pt>
              </c:numCache>
            </c:numRef>
          </c:val>
          <c:smooth val="1"/>
        </c:ser>
        <c:ser>
          <c:idx val="1"/>
          <c:order val="1"/>
          <c:tx>
            <c:strRef>
              <c:f>Sheet1!$A$20</c:f>
              <c:strCache>
                <c:ptCount val="1"/>
                <c:pt idx="0">
                  <c:v>2010</c:v>
                </c:pt>
              </c:strCache>
            </c:strRef>
          </c:tx>
          <c:marker>
            <c:symbol val="none"/>
          </c:marker>
          <c:dLbls>
            <c:dLbl>
              <c:idx val="0"/>
              <c:delete val="1"/>
            </c:dLbl>
            <c:dLbl>
              <c:idx val="1"/>
              <c:delete val="1"/>
            </c:dLbl>
            <c:dLbl>
              <c:idx val="2"/>
              <c:delete val="1"/>
            </c:dLbl>
            <c:dLbl>
              <c:idx val="3"/>
              <c:delete val="1"/>
            </c:dLbl>
            <c:dLbl>
              <c:idx val="4"/>
              <c:delete val="1"/>
            </c:dLbl>
            <c:dLbl>
              <c:idx val="5"/>
              <c:layout>
                <c:manualLayout>
                  <c:x val="-1.0699430082417055E-2"/>
                  <c:y val="-2.746019447797860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 2010 </a:t>
                    </a:r>
                  </a:p>
                </c:rich>
              </c:tx>
              <c:dLblPos val="r"/>
              <c:showLegendKey val="1"/>
              <c:showVal val="1"/>
              <c:showCatName val="1"/>
              <c:showSerName val="1"/>
              <c:showPercent val="1"/>
              <c:showBubbleSize val="1"/>
            </c:dLbl>
            <c:dLbl>
              <c:idx val="6"/>
              <c:delete val="1"/>
            </c:dLbl>
            <c:dLbl>
              <c:idx val="7"/>
              <c:delete val="1"/>
            </c:dLbl>
            <c:dLbl>
              <c:idx val="8"/>
              <c:delete val="1"/>
            </c:dLbl>
            <c:dLbl>
              <c:idx val="9"/>
              <c:delete val="1"/>
            </c:dLbl>
            <c:dLbl>
              <c:idx val="10"/>
              <c:delete val="1"/>
            </c:dLbl>
            <c:dLbl>
              <c:idx val="11"/>
              <c:delete val="1"/>
            </c:dLbl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en-US"/>
              </a:p>
            </c:txPr>
            <c:showLegendKey val="1"/>
            <c:showVal val="1"/>
            <c:showCatName val="1"/>
            <c:showSerName val="1"/>
            <c:showPercent val="1"/>
            <c:showBubbleSize val="1"/>
            <c:showLeaderLines val="0"/>
          </c:dLbls>
          <c:val>
            <c:numRef>
              <c:f>Sheet1!$C$20:$C$31</c:f>
              <c:numCache>
                <c:formatCode>_("$"* #,##0.00_);_("$"* \(#,##0.00\);_("$"* "-"??_);_(@_)</c:formatCode>
                <c:ptCount val="12"/>
                <c:pt idx="0">
                  <c:v>9.7799999999999994</c:v>
                </c:pt>
                <c:pt idx="1">
                  <c:v>10.14</c:v>
                </c:pt>
                <c:pt idx="2">
                  <c:v>8.7799999999999994</c:v>
                </c:pt>
                <c:pt idx="3">
                  <c:v>8.15</c:v>
                </c:pt>
                <c:pt idx="4">
                  <c:v>7.56</c:v>
                </c:pt>
                <c:pt idx="5">
                  <c:v>9.24</c:v>
                </c:pt>
                <c:pt idx="6">
                  <c:v>8.66</c:v>
                </c:pt>
                <c:pt idx="7">
                  <c:v>9.8000000000000007</c:v>
                </c:pt>
                <c:pt idx="8">
                  <c:v>10.64</c:v>
                </c:pt>
                <c:pt idx="9">
                  <c:v>11.48</c:v>
                </c:pt>
                <c:pt idx="10">
                  <c:v>10.119999999999999</c:v>
                </c:pt>
                <c:pt idx="11">
                  <c:v>8.34</c:v>
                </c:pt>
              </c:numCache>
            </c:numRef>
          </c:val>
          <c:smooth val="1"/>
        </c:ser>
        <c:ser>
          <c:idx val="2"/>
          <c:order val="2"/>
          <c:tx>
            <c:strRef>
              <c:f>Sheet1!$A$32</c:f>
              <c:strCache>
                <c:ptCount val="1"/>
                <c:pt idx="0">
                  <c:v>2011</c:v>
                </c:pt>
              </c:strCache>
            </c:strRef>
          </c:tx>
          <c:marker>
            <c:symbol val="none"/>
          </c:marker>
          <c:dLbls>
            <c:dLbl>
              <c:idx val="0"/>
              <c:delete val="1"/>
            </c:dLbl>
            <c:dLbl>
              <c:idx val="1"/>
              <c:delete val="1"/>
            </c:dLbl>
            <c:dLbl>
              <c:idx val="2"/>
              <c:layout>
                <c:manualLayout>
                  <c:x val="-5.1734273956496275E-2"/>
                  <c:y val="9.1533180778032047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 2011 </a:t>
                    </a:r>
                  </a:p>
                </c:rich>
              </c:tx>
              <c:dLblPos val="r"/>
              <c:showLegendKey val="1"/>
              <c:showVal val="1"/>
              <c:showCatName val="1"/>
              <c:showSerName val="1"/>
              <c:showPercent val="1"/>
              <c:showBubbleSize val="1"/>
            </c:dLbl>
            <c:dLbl>
              <c:idx val="3"/>
              <c:delete val="1"/>
            </c:dLbl>
            <c:dLbl>
              <c:idx val="4"/>
              <c:delete val="1"/>
            </c:dLbl>
            <c:dLbl>
              <c:idx val="5"/>
              <c:delete val="1"/>
            </c:dLbl>
            <c:dLbl>
              <c:idx val="6"/>
              <c:delete val="1"/>
            </c:dLbl>
            <c:dLbl>
              <c:idx val="7"/>
              <c:delete val="1"/>
            </c:dLbl>
            <c:dLbl>
              <c:idx val="8"/>
              <c:delete val="1"/>
            </c:dLbl>
            <c:dLbl>
              <c:idx val="9"/>
              <c:delete val="1"/>
            </c:dLbl>
            <c:dLbl>
              <c:idx val="10"/>
              <c:delete val="1"/>
            </c:dLbl>
            <c:dLbl>
              <c:idx val="11"/>
              <c:delete val="1"/>
            </c:dLbl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en-US"/>
              </a:p>
            </c:txPr>
            <c:showLegendKey val="1"/>
            <c:showVal val="1"/>
            <c:showCatName val="1"/>
            <c:showSerName val="1"/>
            <c:showPercent val="1"/>
            <c:showBubbleSize val="1"/>
            <c:showLeaderLines val="0"/>
          </c:dLbls>
          <c:val>
            <c:numRef>
              <c:f>Sheet1!$C$32:$C$43</c:f>
              <c:numCache>
                <c:formatCode>_("$"* #,##0.00_);_("$"* \(#,##0.00\);_("$"* "-"??_);_(@_)</c:formatCode>
                <c:ptCount val="12"/>
                <c:pt idx="0">
                  <c:v>7.86</c:v>
                </c:pt>
                <c:pt idx="1">
                  <c:v>10.77</c:v>
                </c:pt>
                <c:pt idx="2">
                  <c:v>13.37</c:v>
                </c:pt>
                <c:pt idx="3">
                  <c:v>9.43</c:v>
                </c:pt>
                <c:pt idx="4">
                  <c:v>8.35</c:v>
                </c:pt>
                <c:pt idx="5">
                  <c:v>10.66</c:v>
                </c:pt>
                <c:pt idx="6">
                  <c:v>12.98</c:v>
                </c:pt>
                <c:pt idx="7">
                  <c:v>12.5</c:v>
                </c:pt>
                <c:pt idx="8">
                  <c:v>10.37</c:v>
                </c:pt>
                <c:pt idx="9">
                  <c:v>10.84</c:v>
                </c:pt>
                <c:pt idx="10">
                  <c:v>11.89</c:v>
                </c:pt>
                <c:pt idx="11">
                  <c:v>12.56</c:v>
                </c:pt>
              </c:numCache>
            </c:numRef>
          </c:val>
          <c:smooth val="1"/>
        </c:ser>
        <c:ser>
          <c:idx val="3"/>
          <c:order val="3"/>
          <c:tx>
            <c:strRef>
              <c:f>Sheet1!$A$44</c:f>
              <c:strCache>
                <c:ptCount val="1"/>
                <c:pt idx="0">
                  <c:v>2012</c:v>
                </c:pt>
              </c:strCache>
            </c:strRef>
          </c:tx>
          <c:marker>
            <c:symbol val="none"/>
          </c:marker>
          <c:val>
            <c:numRef>
              <c:f>HistIOFC!$F$10:$F$20</c:f>
              <c:numCache>
                <c:formatCode>_("$"* #,##0.00_);_("$"* \(#,##0.00\);_("$"* "-"??_);_(@_)</c:formatCode>
                <c:ptCount val="11"/>
                <c:pt idx="0">
                  <c:v>10.36</c:v>
                </c:pt>
                <c:pt idx="1">
                  <c:v>9.27</c:v>
                </c:pt>
                <c:pt idx="2">
                  <c:v>8.66</c:v>
                </c:pt>
                <c:pt idx="3">
                  <c:v>8.25</c:v>
                </c:pt>
                <c:pt idx="4">
                  <c:v>7.57</c:v>
                </c:pt>
                <c:pt idx="5">
                  <c:v>7.95</c:v>
                </c:pt>
                <c:pt idx="6">
                  <c:v>7.27</c:v>
                </c:pt>
                <c:pt idx="7">
                  <c:v>8.1</c:v>
                </c:pt>
                <c:pt idx="8">
                  <c:v>9.43</c:v>
                </c:pt>
                <c:pt idx="9">
                  <c:v>12.59</c:v>
                </c:pt>
                <c:pt idx="10">
                  <c:v>12.56</c:v>
                </c:pt>
              </c:numCache>
            </c:numRef>
          </c: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82687616"/>
        <c:axId val="182689152"/>
      </c:lineChart>
      <c:catAx>
        <c:axId val="182687616"/>
        <c:scaling>
          <c:orientation val="minMax"/>
        </c:scaling>
        <c:delete val="1"/>
        <c:axPos val="b"/>
        <c:numFmt formatCode="General" sourceLinked="1"/>
        <c:majorTickMark val="cross"/>
        <c:minorTickMark val="cross"/>
        <c:tickLblPos val="nextTo"/>
        <c:crossAx val="182689152"/>
        <c:crosses val="autoZero"/>
        <c:auto val="1"/>
        <c:lblAlgn val="ctr"/>
        <c:lblOffset val="100"/>
        <c:noMultiLvlLbl val="1"/>
      </c:catAx>
      <c:valAx>
        <c:axId val="182689152"/>
        <c:scaling>
          <c:orientation val="minMax"/>
        </c:scaling>
        <c:delete val="1"/>
        <c:axPos val="l"/>
        <c:majorGridlines/>
        <c:numFmt formatCode="_(&quot;$&quot;* #,##0.00_);_(&quot;$&quot;* \(#,##0.00\);_(&quot;$&quot;* &quot;-&quot;??_);_(@_)" sourceLinked="1"/>
        <c:majorTickMark val="cross"/>
        <c:minorTickMark val="cross"/>
        <c:tickLblPos val="nextTo"/>
        <c:crossAx val="182687616"/>
        <c:crosses val="autoZero"/>
        <c:crossBetween val="between"/>
      </c:valAx>
    </c:plotArea>
    <c:legend>
      <c:legendPos val="r"/>
      <c:layout/>
      <c:overlay val="1"/>
      <c:txPr>
        <a:bodyPr/>
        <a:lstStyle/>
        <a:p>
          <a:pPr>
            <a:defRPr sz="845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en-US"/>
        </a:p>
      </c:txPr>
    </c:legend>
    <c:plotVisOnly val="1"/>
    <c:dispBlanksAs val="gap"/>
    <c:showDLblsOverMax val="1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>
    <c:autoUpdate val="1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0.15056</cdr:x>
      <cdr:y>0.90909</cdr:y>
    </cdr:from>
    <cdr:to>
      <cdr:x>0.23263</cdr:x>
      <cdr:y>0.99148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853256" y="3056656"/>
          <a:ext cx="465122" cy="27702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en-US" sz="1100"/>
        </a:p>
        <a:p xmlns:a="http://schemas.openxmlformats.org/drawingml/2006/main">
          <a:endParaRPr lang="en-US" sz="1100"/>
        </a:p>
      </cdr:txBody>
    </cdr:sp>
  </cdr:relSizeAnchor>
  <cdr:relSizeAnchor xmlns:cdr="http://schemas.openxmlformats.org/drawingml/2006/chartDrawing">
    <cdr:from>
      <cdr:x>0.17003</cdr:x>
      <cdr:y>0.90626</cdr:y>
    </cdr:from>
    <cdr:to>
      <cdr:x>0.25211</cdr:x>
      <cdr:y>0.99433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971721" y="3073037"/>
          <a:ext cx="469088" cy="29863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en-US" sz="1100"/>
            <a:t>2011</a:t>
          </a:r>
        </a:p>
      </cdr:txBody>
    </cdr:sp>
  </cdr:relSizeAnchor>
  <cdr:relSizeAnchor xmlns:cdr="http://schemas.openxmlformats.org/drawingml/2006/chartDrawing">
    <cdr:from>
      <cdr:x>0.30833</cdr:x>
      <cdr:y>0.91292</cdr:y>
    </cdr:from>
    <cdr:to>
      <cdr:x>0.39</cdr:x>
      <cdr:y>0.97191</cdr:y>
    </cdr:to>
    <cdr:sp macro="" textlink="">
      <cdr:nvSpPr>
        <cdr:cNvPr id="6" name="TextBox 5"/>
        <cdr:cNvSpPr txBox="1"/>
      </cdr:nvSpPr>
      <cdr:spPr>
        <a:xfrm xmlns:a="http://schemas.openxmlformats.org/drawingml/2006/main">
          <a:off x="1762106" y="3095620"/>
          <a:ext cx="466744" cy="20003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en-US" sz="1100"/>
            <a:t>2012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0.5693</cdr:x>
      <cdr:y>0.49199</cdr:y>
    </cdr:from>
    <cdr:to>
      <cdr:x>0.61997</cdr:x>
      <cdr:y>0.54462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3638550" y="2047875"/>
          <a:ext cx="323850" cy="2190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0.59016</cdr:x>
      <cdr:y>0.4119</cdr:y>
    </cdr:from>
    <cdr:to>
      <cdr:x>0.66021</cdr:x>
      <cdr:y>0.46911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3771899" y="1714499"/>
          <a:ext cx="447675" cy="23812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en-US" sz="1100"/>
            <a:t>2012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1009</Words>
  <Characters>5756</Characters>
  <Application>Microsoft Office Word</Application>
  <DocSecurity>4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6752</CharactersWithSpaces>
  <SharedDoc>false</SharedDoc>
  <HLinks>
    <vt:vector size="24" baseType="variant">
      <vt:variant>
        <vt:i4>2031652</vt:i4>
      </vt:variant>
      <vt:variant>
        <vt:i4>9</vt:i4>
      </vt:variant>
      <vt:variant>
        <vt:i4>0</vt:i4>
      </vt:variant>
      <vt:variant>
        <vt:i4>5</vt:i4>
      </vt:variant>
      <vt:variant>
        <vt:lpwstr>mailto:kenneth.bolton@ces.uwex.edu</vt:lpwstr>
      </vt:variant>
      <vt:variant>
        <vt:lpwstr/>
      </vt:variant>
      <vt:variant>
        <vt:i4>6815776</vt:i4>
      </vt:variant>
      <vt:variant>
        <vt:i4>6</vt:i4>
      </vt:variant>
      <vt:variant>
        <vt:i4>0</vt:i4>
      </vt:variant>
      <vt:variant>
        <vt:i4>5</vt:i4>
      </vt:variant>
      <vt:variant>
        <vt:lpwstr>http://cdp.wisc.edu/Welcome.htm</vt:lpwstr>
      </vt:variant>
      <vt:variant>
        <vt:lpwstr/>
      </vt:variant>
      <vt:variant>
        <vt:i4>4390925</vt:i4>
      </vt:variant>
      <vt:variant>
        <vt:i4>3</vt:i4>
      </vt:variant>
      <vt:variant>
        <vt:i4>0</vt:i4>
      </vt:variant>
      <vt:variant>
        <vt:i4>5</vt:i4>
      </vt:variant>
      <vt:variant>
        <vt:lpwstr>http://cdp.wisc.edu/Decision Making Tools.htm</vt:lpwstr>
      </vt:variant>
      <vt:variant>
        <vt:lpwstr/>
      </vt:variant>
      <vt:variant>
        <vt:i4>458758</vt:i4>
      </vt:variant>
      <vt:variant>
        <vt:i4>0</vt:i4>
      </vt:variant>
      <vt:variant>
        <vt:i4>0</vt:i4>
      </vt:variant>
      <vt:variant>
        <vt:i4>5</vt:i4>
      </vt:variant>
      <vt:variant>
        <vt:lpwstr>http://future.aae.wisc.edu/milc.html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Bolton</dc:creator>
  <cp:lastModifiedBy>Jenny Vanderlin</cp:lastModifiedBy>
  <cp:revision>2</cp:revision>
  <cp:lastPrinted>2012-11-15T16:58:00Z</cp:lastPrinted>
  <dcterms:created xsi:type="dcterms:W3CDTF">2012-11-19T18:46:00Z</dcterms:created>
  <dcterms:modified xsi:type="dcterms:W3CDTF">2012-11-19T18:46:00Z</dcterms:modified>
</cp:coreProperties>
</file>